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auto"/>
        <w:jc w:val="center"/>
        <w:rPr>
          <w:rFonts w:ascii="黑体" w:hAnsi="黑体" w:eastAsia="黑体" w:cs="Times New Roman"/>
          <w:kern w:val="2"/>
          <w:sz w:val="28"/>
          <w:szCs w:val="28"/>
        </w:rPr>
      </w:pPr>
    </w:p>
    <w:p>
      <w:pPr>
        <w:widowControl w:val="0"/>
        <w:tabs>
          <w:tab w:val="left" w:pos="8280"/>
        </w:tabs>
        <w:adjustRightInd w:val="0"/>
        <w:spacing w:line="360" w:lineRule="auto"/>
        <w:ind w:right="26"/>
        <w:jc w:val="right"/>
        <w:outlineLvl w:val="0"/>
        <w:rPr>
          <w:rFonts w:ascii="Arial" w:hAnsi="Times New Roman" w:eastAsia="黑体" w:cs="Times New Roman"/>
          <w:color w:val="000000"/>
          <w:sz w:val="32"/>
          <w:szCs w:val="20"/>
        </w:rPr>
      </w:pPr>
      <w:bookmarkStart w:id="0" w:name="_Toc55385987"/>
      <w:bookmarkStart w:id="1" w:name="_Toc56092680"/>
      <w:r>
        <w:pict>
          <v:group id="_x0000_s1026" o:spid="_x0000_s1026" o:spt="203" style="position:absolute;left:0pt;margin-left:0.15pt;margin-top:31.5pt;height:140.95pt;width:456pt;z-index:251659264;mso-width-relative:page;mso-height-relative:page;" coordsize="20000,19663" o:allowincell="f" o:gfxdata="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DMBrY/XAAAABwEAAA8AAAAAAAAAAQAgAAAAIgAAAGRycy9kb3ducmV2LnhtbFBL&#10;AQIUABQAAAAIAIdO4kAzzy/9FAMAABMOAAAOAAAAAAAAAAEAIAAAACYBAABkcnMvZTJvRG9jLnht&#10;bFBLBQYAAAAABgAGAFkBAACsBgAAAAA=&#10;">
            <o:lock v:ext="edit"/>
            <v:group id="_x0000_s1027" o:spid="_x0000_s1027" o:spt="203" style="position:absolute;left:0;top:0;height:735;width:20000;" coordsize="20000,19635"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v:line id="_x0000_s1028" o:spid="_x0000_s1028" o:spt="20" style="position:absolute;left:0;top:0;height:187;width:20000;" coordsize="21600,21600" o:gfxdata="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hxCrsAAADb&#10;AAAADwAAAAAAAAABACAAAAAiAAAAZHJzL2Rvd25yZXYueG1sUEsBAhQAFAAAAAgAh07iQDMvBZ47&#10;AAAAOQAAABAAAAAAAAAAAQAgAAAACgEAAGRycy9zaGFwZXhtbC54bWxQSwUGAAAAAAYABgBbAQAA&#10;tAMAAAAA&#10;">
                <v:path arrowok="t"/>
                <v:fill focussize="0,0"/>
                <v:stroke weight="2pt" startarrowwidth="narrow" startarrowlength="short" endarrowwidth="narrow" endarrowlength="short"/>
                <v:imagedata o:title=""/>
                <o:lock v:ext="edit"/>
              </v:line>
              <v:line id="_x0000_s1029" o:spid="_x0000_s1029" o:spt="20" style="position:absolute;left:0;top:19448;height:187;width:20000;" coordsize="21600,21600" o:gfxdata="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1QRybgAAADbAAAA&#10;DwAAAAAAAAABACAAAAAiAAAAZHJzL2Rvd25yZXYueG1sUEsBAhQAFAAAAAgAh07iQDMvBZ47AAAA&#10;OQAAABAAAAAAAAAAAQAgAAAABwEAAGRycy9zaGFwZXhtbC54bWxQSwUGAAAAAAYABgBbAQAAsQMA&#10;AAAA&#10;">
                <v:path arrowok="t"/>
                <v:fill focussize="0,0"/>
                <v:stroke weight="1pt" startarrowwidth="narrow" startarrowlength="short" endarrowwidth="narrow" endarrowlength="short"/>
                <v:imagedata o:title=""/>
                <o:lock v:ext="edit"/>
              </v:line>
            </v:group>
            <v:group id="_x0000_s1030" o:spid="_x0000_s1030" o:spt="203" style="position:absolute;left:0;top:18928;height:735;width:20000;" coordorigin="0,50" coordsize="20000,1995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v:line id="_x0000_s1031" o:spid="_x0000_s1031" o:spt="20" style="position:absolute;left:0;top:19810;flip:x;height:190;width:20000;" coordsize="21600,21600" o:gfxdata="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cBvj7UAAADbAAAADwAA&#10;AAAAAAABACAAAAAiAAAAZHJzL2Rvd25yZXYueG1sUEsBAhQAFAAAAAgAh07iQDMvBZ47AAAAOQAA&#10;ABAAAAAAAAAAAQAgAAAABAEAAGRycy9zaGFwZXhtbC54bWxQSwUGAAAAAAYABgBbAQAArgMAAAAA&#10;">
                <v:path arrowok="t"/>
                <v:fill focussize="0,0"/>
                <v:stroke weight="2pt" startarrowwidth="narrow" startarrowlength="short" endarrowwidth="narrow" endarrowlength="short"/>
                <v:imagedata o:title=""/>
                <o:lock v:ext="edit"/>
              </v:line>
              <v:line id="_x0000_s1032" o:spid="_x0000_s1032" o:spt="20" style="position:absolute;left:0;top:50;flip:x;height:190;width:20000;" coordsize="21600,21600" o:gfxdata="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epJV&#10;wAAAANsAAAAPAAAAAAAAAAEAIAAAACIAAABkcnMvZG93bnJldi54bWxQSwECFAAUAAAACACHTuJA&#10;My8FnjsAAAA5AAAAEAAAAAAAAAABACAAAAAPAQAAZHJzL3NoYXBleG1sLnhtbFBLBQYAAAAABgAG&#10;AFsBAAC5AwAAAAA=&#10;">
                <v:path arrowok="t"/>
                <v:fill focussize="0,0"/>
                <v:stroke weight="1pt" startarrowwidth="narrow" startarrowlength="short" endarrowwidth="narrow" endarrowlength="short"/>
                <v:imagedata o:title=""/>
                <o:lock v:ext="edit"/>
              </v:line>
            </v:group>
          </v:group>
        </w:pict>
      </w:r>
      <w:bookmarkEnd w:id="0"/>
      <w:bookmarkEnd w:id="1"/>
    </w:p>
    <w:p>
      <w:pPr>
        <w:widowControl w:val="0"/>
        <w:tabs>
          <w:tab w:val="left" w:pos="8280"/>
        </w:tabs>
        <w:adjustRightInd w:val="0"/>
        <w:spacing w:line="360" w:lineRule="auto"/>
        <w:ind w:right="26"/>
        <w:jc w:val="right"/>
        <w:outlineLvl w:val="0"/>
        <w:rPr>
          <w:rFonts w:ascii="Arial" w:hAnsi="Times New Roman" w:eastAsia="黑体" w:cs="Times New Roman"/>
          <w:color w:val="000000"/>
          <w:sz w:val="10"/>
          <w:szCs w:val="10"/>
        </w:rPr>
      </w:pPr>
    </w:p>
    <w:p>
      <w:pPr>
        <w:widowControl w:val="0"/>
        <w:tabs>
          <w:tab w:val="left" w:pos="8280"/>
        </w:tabs>
        <w:adjustRightInd w:val="0"/>
        <w:spacing w:line="640" w:lineRule="exact"/>
        <w:ind w:right="28"/>
        <w:jc w:val="center"/>
        <w:outlineLvl w:val="0"/>
        <w:rPr>
          <w:rFonts w:ascii="Arial" w:hAnsi="Times New Roman" w:eastAsia="黑体" w:cs="Times New Roman"/>
          <w:sz w:val="48"/>
          <w:szCs w:val="48"/>
        </w:rPr>
      </w:pPr>
    </w:p>
    <w:p>
      <w:pPr>
        <w:widowControl w:val="0"/>
        <w:tabs>
          <w:tab w:val="left" w:pos="8280"/>
        </w:tabs>
        <w:adjustRightInd w:val="0"/>
        <w:spacing w:line="640" w:lineRule="exact"/>
        <w:ind w:right="28"/>
        <w:jc w:val="center"/>
        <w:outlineLvl w:val="0"/>
        <w:rPr>
          <w:rFonts w:ascii="Arial" w:hAnsi="Times New Roman" w:eastAsia="黑体" w:cs="Times New Roman"/>
          <w:sz w:val="48"/>
          <w:szCs w:val="48"/>
        </w:rPr>
      </w:pPr>
      <w:bookmarkStart w:id="2" w:name="_Toc55385988"/>
      <w:bookmarkStart w:id="3" w:name="_Toc56092681"/>
      <w:r>
        <w:rPr>
          <w:rFonts w:hint="eastAsia" w:ascii="Arial" w:hAnsi="Times New Roman" w:eastAsia="黑体" w:cs="Times New Roman"/>
          <w:sz w:val="48"/>
          <w:szCs w:val="48"/>
        </w:rPr>
        <w:t>重庆市梁平区</w:t>
      </w:r>
      <w:r>
        <w:rPr>
          <w:rFonts w:ascii="Arial" w:hAnsi="Times New Roman" w:eastAsia="黑体" w:cs="Times New Roman"/>
          <w:sz w:val="48"/>
          <w:szCs w:val="48"/>
        </w:rPr>
        <w:t>5G</w:t>
      </w:r>
      <w:r>
        <w:rPr>
          <w:rFonts w:hint="eastAsia" w:ascii="Arial" w:hAnsi="Times New Roman" w:eastAsia="黑体" w:cs="Times New Roman"/>
          <w:sz w:val="48"/>
          <w:szCs w:val="48"/>
        </w:rPr>
        <w:t>通信基础设施规划</w:t>
      </w:r>
      <w:bookmarkEnd w:id="2"/>
      <w:bookmarkEnd w:id="3"/>
    </w:p>
    <w:p>
      <w:pPr>
        <w:widowControl w:val="0"/>
        <w:tabs>
          <w:tab w:val="left" w:pos="8280"/>
        </w:tabs>
        <w:adjustRightInd w:val="0"/>
        <w:spacing w:line="640" w:lineRule="exact"/>
        <w:ind w:right="28"/>
        <w:jc w:val="center"/>
        <w:outlineLvl w:val="0"/>
        <w:rPr>
          <w:rFonts w:ascii="Arial" w:hAnsi="Times New Roman" w:eastAsia="黑体" w:cs="Times New Roman"/>
          <w:sz w:val="32"/>
          <w:szCs w:val="20"/>
        </w:rPr>
      </w:pPr>
    </w:p>
    <w:p>
      <w:pPr>
        <w:widowControl w:val="0"/>
        <w:tabs>
          <w:tab w:val="left" w:pos="8280"/>
        </w:tabs>
        <w:adjustRightInd w:val="0"/>
        <w:spacing w:line="640" w:lineRule="exact"/>
        <w:ind w:right="28"/>
        <w:jc w:val="center"/>
        <w:outlineLvl w:val="0"/>
        <w:rPr>
          <w:rFonts w:ascii="Arial" w:hAnsi="Times New Roman" w:eastAsia="黑体" w:cs="Times New Roman"/>
          <w:sz w:val="32"/>
          <w:szCs w:val="20"/>
        </w:rPr>
      </w:pPr>
    </w:p>
    <w:p>
      <w:pPr>
        <w:widowControl w:val="0"/>
        <w:tabs>
          <w:tab w:val="left" w:pos="8280"/>
        </w:tabs>
        <w:adjustRightInd w:val="0"/>
        <w:spacing w:line="360" w:lineRule="auto"/>
        <w:ind w:right="26"/>
        <w:jc w:val="center"/>
        <w:outlineLvl w:val="0"/>
        <w:rPr>
          <w:rFonts w:ascii="黑体" w:hAnsi="Times New Roman" w:eastAsia="黑体" w:cs="Times New Roman"/>
          <w:color w:val="000000"/>
          <w:sz w:val="32"/>
          <w:szCs w:val="32"/>
        </w:rPr>
      </w:pPr>
    </w:p>
    <w:p>
      <w:pPr>
        <w:widowControl w:val="0"/>
        <w:tabs>
          <w:tab w:val="left" w:pos="2977"/>
          <w:tab w:val="left" w:pos="8280"/>
        </w:tabs>
        <w:adjustRightInd w:val="0"/>
        <w:spacing w:line="540" w:lineRule="auto"/>
        <w:ind w:firstLine="1174" w:firstLineChars="367"/>
        <w:jc w:val="both"/>
        <w:outlineLvl w:val="0"/>
        <w:rPr>
          <w:rFonts w:ascii="黑体" w:hAnsi="Times New Roman" w:eastAsia="黑体" w:cs="Times New Roman"/>
          <w:sz w:val="32"/>
          <w:szCs w:val="2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center"/>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both"/>
        <w:outlineLvl w:val="0"/>
        <w:rPr>
          <w:rFonts w:ascii="Arial" w:hAnsi="Times New Roman" w:eastAsia="黑体" w:cs="Times New Roman"/>
          <w:color w:val="000000"/>
          <w:sz w:val="30"/>
          <w:szCs w:val="30"/>
        </w:rPr>
      </w:pPr>
    </w:p>
    <w:p>
      <w:pPr>
        <w:widowControl w:val="0"/>
        <w:tabs>
          <w:tab w:val="left" w:pos="8280"/>
        </w:tabs>
        <w:adjustRightInd w:val="0"/>
        <w:spacing w:line="360" w:lineRule="auto"/>
        <w:jc w:val="both"/>
        <w:outlineLvl w:val="0"/>
        <w:rPr>
          <w:rFonts w:ascii="Arial" w:hAnsi="Times New Roman" w:eastAsia="黑体" w:cs="Times New Roman"/>
          <w:color w:val="000000"/>
          <w:sz w:val="18"/>
          <w:szCs w:val="18"/>
        </w:rPr>
      </w:pPr>
    </w:p>
    <w:p>
      <w:pPr>
        <w:widowControl w:val="0"/>
        <w:tabs>
          <w:tab w:val="left" w:pos="8280"/>
        </w:tabs>
        <w:adjustRightInd w:val="0"/>
        <w:spacing w:line="360" w:lineRule="auto"/>
        <w:ind w:right="26"/>
        <w:jc w:val="center"/>
        <w:outlineLvl w:val="0"/>
        <w:rPr>
          <w:rFonts w:ascii="Arial" w:hAnsi="Times New Roman" w:eastAsia="黑体" w:cs="Times New Roman"/>
          <w:sz w:val="32"/>
          <w:szCs w:val="20"/>
        </w:rPr>
      </w:pPr>
      <w:r>
        <w:rPr>
          <w:rFonts w:hint="eastAsia" w:ascii="Arial" w:hAnsi="Times New Roman" w:eastAsia="黑体" w:cs="Times New Roman"/>
          <w:sz w:val="32"/>
          <w:szCs w:val="20"/>
        </w:rPr>
        <w:t>重庆市梁平区经济信息委</w:t>
      </w:r>
    </w:p>
    <w:p>
      <w:pPr>
        <w:widowControl w:val="0"/>
        <w:tabs>
          <w:tab w:val="left" w:pos="8280"/>
          <w:tab w:val="right" w:pos="9120"/>
        </w:tabs>
        <w:adjustRightInd w:val="0"/>
        <w:spacing w:line="360" w:lineRule="auto"/>
        <w:ind w:right="38"/>
        <w:jc w:val="center"/>
        <w:outlineLvl w:val="0"/>
        <w:rPr>
          <w:rFonts w:ascii="Arial" w:hAnsi="Times New Roman" w:eastAsia="黑体" w:cs="Times New Roman"/>
          <w:sz w:val="32"/>
          <w:szCs w:val="20"/>
        </w:rPr>
      </w:pPr>
      <w:bookmarkStart w:id="4" w:name="_Toc55385991"/>
      <w:bookmarkStart w:id="5" w:name="_Toc56092684"/>
      <w:r>
        <w:rPr>
          <w:rFonts w:ascii="Arial" w:hAnsi="Times New Roman" w:eastAsia="黑体" w:cs="Times New Roman"/>
          <w:sz w:val="32"/>
          <w:szCs w:val="20"/>
        </w:rPr>
        <w:t>2020</w:t>
      </w:r>
      <w:r>
        <w:rPr>
          <w:rFonts w:hint="eastAsia" w:ascii="Arial" w:hAnsi="Times New Roman" w:eastAsia="黑体" w:cs="Times New Roman"/>
          <w:sz w:val="32"/>
          <w:szCs w:val="20"/>
        </w:rPr>
        <w:t>年</w:t>
      </w:r>
      <w:r>
        <w:rPr>
          <w:rFonts w:ascii="Arial" w:hAnsi="Times New Roman" w:eastAsia="黑体" w:cs="Times New Roman"/>
          <w:sz w:val="32"/>
          <w:szCs w:val="20"/>
        </w:rPr>
        <w:t>11</w:t>
      </w:r>
      <w:r>
        <w:rPr>
          <w:rFonts w:hint="eastAsia" w:ascii="Arial" w:hAnsi="Times New Roman" w:eastAsia="黑体" w:cs="Times New Roman"/>
          <w:sz w:val="32"/>
          <w:szCs w:val="20"/>
        </w:rPr>
        <w:t>月</w:t>
      </w:r>
      <w:bookmarkEnd w:id="4"/>
      <w:bookmarkEnd w:id="5"/>
    </w:p>
    <w:p>
      <w:pPr>
        <w:widowControl w:val="0"/>
        <w:tabs>
          <w:tab w:val="left" w:pos="8280"/>
          <w:tab w:val="right" w:pos="9120"/>
        </w:tabs>
        <w:adjustRightInd w:val="0"/>
        <w:spacing w:line="360" w:lineRule="auto"/>
        <w:ind w:right="38"/>
        <w:jc w:val="center"/>
        <w:outlineLvl w:val="0"/>
        <w:rPr>
          <w:rFonts w:ascii="Arial" w:hAnsi="Times New Roman" w:eastAsia="黑体" w:cs="Times New Roman"/>
          <w:sz w:val="32"/>
          <w:szCs w:val="20"/>
        </w:rPr>
      </w:pPr>
    </w:p>
    <w:p>
      <w:pPr>
        <w:widowControl w:val="0"/>
        <w:tabs>
          <w:tab w:val="left" w:pos="8280"/>
          <w:tab w:val="right" w:pos="9120"/>
        </w:tabs>
        <w:adjustRightInd w:val="0"/>
        <w:spacing w:line="360" w:lineRule="auto"/>
        <w:ind w:right="38"/>
        <w:jc w:val="center"/>
        <w:outlineLvl w:val="0"/>
        <w:rPr>
          <w:rFonts w:ascii="Arial" w:hAnsi="Times New Roman" w:eastAsia="黑体" w:cs="Times New Roman"/>
          <w:sz w:val="32"/>
          <w:szCs w:val="20"/>
        </w:rPr>
      </w:pPr>
    </w:p>
    <w:p>
      <w:pPr>
        <w:widowControl w:val="0"/>
        <w:tabs>
          <w:tab w:val="left" w:pos="8280"/>
          <w:tab w:val="right" w:pos="9120"/>
        </w:tabs>
        <w:adjustRightInd w:val="0"/>
        <w:spacing w:line="360" w:lineRule="auto"/>
        <w:ind w:right="38"/>
        <w:jc w:val="center"/>
        <w:outlineLvl w:val="0"/>
        <w:rPr>
          <w:rFonts w:ascii="Arial" w:hAnsi="Times New Roman" w:eastAsia="黑体" w:cs="Times New Roman"/>
          <w:sz w:val="32"/>
          <w:szCs w:val="20"/>
        </w:rPr>
      </w:pPr>
    </w:p>
    <w:p>
      <w:pPr>
        <w:widowControl w:val="0"/>
        <w:tabs>
          <w:tab w:val="left" w:pos="8280"/>
        </w:tabs>
        <w:adjustRightInd w:val="0"/>
        <w:spacing w:line="360" w:lineRule="auto"/>
        <w:ind w:right="26"/>
        <w:jc w:val="right"/>
        <w:outlineLvl w:val="0"/>
        <w:rPr>
          <w:rFonts w:ascii="Arial" w:hAnsi="Times New Roman" w:eastAsia="黑体" w:cs="Times New Roman"/>
          <w:color w:val="000000"/>
          <w:sz w:val="32"/>
          <w:szCs w:val="20"/>
        </w:rPr>
      </w:pPr>
    </w:p>
    <w:p>
      <w:pPr>
        <w:widowControl w:val="0"/>
        <w:tabs>
          <w:tab w:val="left" w:pos="8280"/>
        </w:tabs>
        <w:adjustRightInd w:val="0"/>
        <w:spacing w:line="360" w:lineRule="auto"/>
        <w:ind w:right="26"/>
        <w:jc w:val="right"/>
        <w:outlineLvl w:val="0"/>
        <w:rPr>
          <w:rFonts w:ascii="Arial" w:hAnsi="Times New Roman" w:eastAsia="黑体" w:cs="Times New Roman"/>
          <w:color w:val="000000"/>
          <w:sz w:val="10"/>
          <w:szCs w:val="10"/>
        </w:rPr>
      </w:pPr>
      <w:bookmarkStart w:id="6" w:name="_Toc55385992"/>
      <w:bookmarkStart w:id="7" w:name="_Toc56092685"/>
      <w:r>
        <w:pict>
          <v:group id="_x0000_s1033" o:spid="_x0000_s1033" o:spt="203" style="position:absolute;left:0pt;margin-left:0.15pt;margin-top:1.6pt;height:140.7pt;width:462.5pt;z-index:251660288;mso-width-relative:page;mso-height-relative:page;" coordsize="20000,19663" o:allowincell="f" o:gfxdata="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NYy2rvWAAAABgEAAA8AAAAAAAAAAQAgAAAAIgAAAGRycy9k&#10;b3ducmV2LnhtbFBLAQIUABQAAAAIAIdO4kBQKDqeIQMAABkOAAAOAAAAAAAAAAEAIAAAACUBAABk&#10;cnMvZTJvRG9jLnhtbFBLBQYAAAAABgAGAFkBAAC4BgAAAAA=&#10;">
            <o:lock v:ext="edit"/>
            <v:group id="_x0000_s1034" o:spid="_x0000_s1034" o:spt="203" style="position:absolute;left:0;top:0;height:735;width:20000;" coordsize="20000,19635"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v:line id="_x0000_s1035" o:spid="_x0000_s1035" o:spt="20" style="position:absolute;left:0;top:0;height:187;width:20000;" coordsize="21600,21600" o:gfxdata="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eKXr4A&#10;AADbAAAADwAAAAAAAAABACAAAAAiAAAAZHJzL2Rvd25yZXYueG1sUEsBAhQAFAAAAAgAh07iQDMv&#10;BZ47AAAAOQAAABAAAAAAAAAAAQAgAAAADQEAAGRycy9zaGFwZXhtbC54bWxQSwUGAAAAAAYABgBb&#10;AQAAtwMAAAAA&#10;">
                <v:path arrowok="t"/>
                <v:fill focussize="0,0"/>
                <v:stroke weight="2pt" startarrowwidth="narrow" startarrowlength="short" endarrowwidth="narrow" endarrowlength="short"/>
                <v:imagedata o:title=""/>
                <o:lock v:ext="edit"/>
              </v:line>
              <v:line id="_x0000_s1036" o:spid="_x0000_s1036" o:spt="20" style="position:absolute;left:0;top:19448;height:187;width:20000;" coordsize="21600,21600" o:gfxdata="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SIdz7gAAADbAAAA&#10;DwAAAAAAAAABACAAAAAiAAAAZHJzL2Rvd25yZXYueG1sUEsBAhQAFAAAAAgAh07iQDMvBZ47AAAA&#10;OQAAABAAAAAAAAAAAQAgAAAABwEAAGRycy9zaGFwZXhtbC54bWxQSwUGAAAAAAYABgBbAQAAsQMA&#10;AAAA&#10;">
                <v:path arrowok="t"/>
                <v:fill focussize="0,0"/>
                <v:stroke weight="1pt" startarrowwidth="narrow" startarrowlength="short" endarrowwidth="narrow" endarrowlength="short"/>
                <v:imagedata o:title=""/>
                <o:lock v:ext="edit"/>
              </v:line>
            </v:group>
            <v:group id="_x0000_s1037" o:spid="_x0000_s1037" o:spt="203" style="position:absolute;left:0;top:18928;height:735;width:20000;" coordorigin="0,50" coordsize="20000,1995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v:line id="_x0000_s1038" o:spid="_x0000_s1038" o:spt="20" style="position:absolute;left:0;top:19810;flip:x;height:190;width:20000;" coordsize="21600,21600" o:gfxdata="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LZyW5AAAA2wAA&#10;AA8AAAAAAAAAAQAgAAAAIgAAAGRycy9kb3ducmV2LnhtbFBLAQIUABQAAAAIAIdO4kAzLwWeOwAA&#10;ADkAAAAQAAAAAAAAAAEAIAAAAAgBAABkcnMvc2hhcGV4bWwueG1sUEsFBgAAAAAGAAYAWwEAALID&#10;AAAAAA==&#10;">
                <v:path arrowok="t"/>
                <v:fill focussize="0,0"/>
                <v:stroke weight="2pt" startarrowwidth="narrow" startarrowlength="short" endarrowwidth="narrow" endarrowlength="short"/>
                <v:imagedata o:title=""/>
                <o:lock v:ext="edit"/>
              </v:line>
              <v:line id="_x0000_s1039" o:spid="_x0000_s1039" o:spt="20" style="position:absolute;left:0;top:50;flip:x;height:190;width:20000;" coordsize="21600,21600" o:gfxdata="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SnEL4A&#10;AADbAAAADwAAAAAAAAABACAAAAAiAAAAZHJzL2Rvd25yZXYueG1sUEsBAhQAFAAAAAgAh07iQDMv&#10;BZ47AAAAOQAAABAAAAAAAAAAAQAgAAAADQEAAGRycy9zaGFwZXhtbC54bWxQSwUGAAAAAAYABgBb&#10;AQAAtwMAAAAA&#10;">
                <v:path arrowok="t"/>
                <v:fill focussize="0,0"/>
                <v:stroke weight="1pt" startarrowwidth="narrow" startarrowlength="short" endarrowwidth="narrow" endarrowlength="short"/>
                <v:imagedata o:title=""/>
                <o:lock v:ext="edit"/>
              </v:line>
            </v:group>
          </v:group>
        </w:pict>
      </w:r>
      <w:bookmarkEnd w:id="6"/>
      <w:bookmarkEnd w:id="7"/>
    </w:p>
    <w:p>
      <w:pPr>
        <w:widowControl w:val="0"/>
        <w:spacing w:line="360" w:lineRule="auto"/>
        <w:jc w:val="both"/>
        <w:rPr>
          <w:rFonts w:ascii="黑体" w:hAnsi="Times New Roman" w:eastAsia="黑体" w:cs="Times New Roman"/>
          <w:kern w:val="2"/>
          <w:sz w:val="32"/>
        </w:rPr>
      </w:pPr>
    </w:p>
    <w:p>
      <w:pPr>
        <w:widowControl w:val="0"/>
        <w:tabs>
          <w:tab w:val="left" w:pos="8280"/>
        </w:tabs>
        <w:adjustRightInd w:val="0"/>
        <w:spacing w:line="640" w:lineRule="exact"/>
        <w:ind w:right="28"/>
        <w:jc w:val="center"/>
        <w:outlineLvl w:val="0"/>
        <w:rPr>
          <w:rFonts w:ascii="Arial" w:hAnsi="Times New Roman" w:eastAsia="黑体" w:cs="Times New Roman"/>
          <w:sz w:val="48"/>
          <w:szCs w:val="48"/>
        </w:rPr>
      </w:pPr>
      <w:bookmarkStart w:id="8" w:name="_Toc56092686"/>
      <w:bookmarkStart w:id="9" w:name="_Toc55385993"/>
      <w:r>
        <w:rPr>
          <w:rFonts w:hint="eastAsia" w:ascii="Arial" w:hAnsi="Times New Roman" w:eastAsia="黑体" w:cs="Times New Roman"/>
          <w:sz w:val="48"/>
          <w:szCs w:val="48"/>
        </w:rPr>
        <w:t>重庆市梁平区</w:t>
      </w:r>
      <w:r>
        <w:rPr>
          <w:rFonts w:ascii="Arial" w:hAnsi="Times New Roman" w:eastAsia="黑体" w:cs="Times New Roman"/>
          <w:sz w:val="48"/>
          <w:szCs w:val="48"/>
        </w:rPr>
        <w:t>5G</w:t>
      </w:r>
      <w:r>
        <w:rPr>
          <w:rFonts w:hint="eastAsia" w:ascii="Arial" w:hAnsi="Times New Roman" w:eastAsia="黑体" w:cs="Times New Roman"/>
          <w:sz w:val="48"/>
          <w:szCs w:val="48"/>
        </w:rPr>
        <w:t>通信基础设施规划</w:t>
      </w:r>
      <w:bookmarkEnd w:id="8"/>
      <w:bookmarkEnd w:id="9"/>
    </w:p>
    <w:p>
      <w:pPr>
        <w:widowControl w:val="0"/>
        <w:tabs>
          <w:tab w:val="left" w:pos="8280"/>
        </w:tabs>
        <w:adjustRightInd w:val="0"/>
        <w:spacing w:line="640" w:lineRule="exact"/>
        <w:ind w:right="28"/>
        <w:jc w:val="center"/>
        <w:outlineLvl w:val="0"/>
        <w:rPr>
          <w:rFonts w:ascii="Arial" w:hAnsi="Times New Roman" w:eastAsia="黑体" w:cs="Times New Roman"/>
          <w:sz w:val="32"/>
          <w:szCs w:val="20"/>
        </w:rPr>
      </w:pPr>
      <w:bookmarkStart w:id="10" w:name="_Toc55385994"/>
      <w:bookmarkStart w:id="11" w:name="_Toc56092687"/>
      <w:r>
        <w:rPr>
          <w:rFonts w:hint="eastAsia" w:ascii="Arial" w:hAnsi="Times New Roman" w:eastAsia="黑体" w:cs="Times New Roman"/>
          <w:sz w:val="32"/>
          <w:szCs w:val="20"/>
        </w:rPr>
        <w:t>（规划文本</w:t>
      </w:r>
      <w:r>
        <w:rPr>
          <w:rFonts w:ascii="Arial" w:hAnsi="Times New Roman" w:eastAsia="黑体" w:cs="Times New Roman"/>
          <w:sz w:val="32"/>
          <w:szCs w:val="20"/>
        </w:rPr>
        <w:t>+</w:t>
      </w:r>
      <w:r>
        <w:rPr>
          <w:rFonts w:hint="eastAsia" w:ascii="Arial" w:hAnsi="Times New Roman" w:eastAsia="黑体" w:cs="Times New Roman"/>
          <w:sz w:val="32"/>
          <w:szCs w:val="20"/>
        </w:rPr>
        <w:t>说明）</w:t>
      </w:r>
      <w:bookmarkEnd w:id="10"/>
      <w:bookmarkEnd w:id="11"/>
    </w:p>
    <w:p>
      <w:pPr>
        <w:widowControl w:val="0"/>
        <w:spacing w:line="360" w:lineRule="auto"/>
        <w:ind w:firstLine="1920" w:firstLineChars="600"/>
        <w:jc w:val="both"/>
        <w:rPr>
          <w:rFonts w:ascii="黑体" w:hAnsi="Times New Roman" w:eastAsia="黑体" w:cs="Times New Roman"/>
          <w:kern w:val="2"/>
          <w:sz w:val="32"/>
        </w:rPr>
      </w:pPr>
    </w:p>
    <w:p>
      <w:pPr>
        <w:widowControl w:val="0"/>
        <w:spacing w:line="360" w:lineRule="auto"/>
        <w:ind w:firstLine="1920" w:firstLineChars="600"/>
        <w:jc w:val="both"/>
        <w:rPr>
          <w:rFonts w:ascii="黑体" w:hAnsi="Times New Roman" w:eastAsia="黑体" w:cs="Times New Roman"/>
          <w:kern w:val="2"/>
          <w:sz w:val="32"/>
        </w:rPr>
      </w:pPr>
    </w:p>
    <w:p>
      <w:pPr>
        <w:widowControl w:val="0"/>
        <w:tabs>
          <w:tab w:val="left" w:pos="8280"/>
        </w:tabs>
        <w:adjustRightInd w:val="0"/>
        <w:spacing w:line="360" w:lineRule="auto"/>
        <w:ind w:right="26"/>
        <w:jc w:val="both"/>
        <w:outlineLvl w:val="0"/>
        <w:rPr>
          <w:rFonts w:ascii="Arial" w:hAnsi="Times New Roman" w:eastAsia="黑体" w:cs="Times New Roman"/>
          <w:sz w:val="32"/>
          <w:szCs w:val="20"/>
        </w:rPr>
      </w:pPr>
      <w:r>
        <w:rPr>
          <w:rFonts w:ascii="Arial" w:hAnsi="Times New Roman" w:eastAsia="黑体" w:cs="Times New Roman"/>
          <w:sz w:val="32"/>
          <w:szCs w:val="20"/>
        </w:rPr>
        <w:t xml:space="preserve">     </w:t>
      </w:r>
      <w:r>
        <w:rPr>
          <w:rFonts w:ascii="Arial" w:hAnsi="Times New Roman" w:eastAsia="黑体" w:cs="Times New Roman"/>
          <w:sz w:val="28"/>
          <w:szCs w:val="20"/>
        </w:rPr>
        <w:t xml:space="preserve">   </w:t>
      </w:r>
      <w:r>
        <w:rPr>
          <w:rFonts w:ascii="Arial" w:hAnsi="Times New Roman" w:eastAsia="黑体" w:cs="Times New Roman"/>
          <w:sz w:val="32"/>
          <w:szCs w:val="20"/>
        </w:rPr>
        <w:t xml:space="preserve">    </w:t>
      </w:r>
      <w:r>
        <w:rPr>
          <w:rFonts w:hint="eastAsia" w:ascii="Arial" w:hAnsi="Times New Roman" w:eastAsia="黑体" w:cs="Times New Roman"/>
          <w:sz w:val="32"/>
          <w:szCs w:val="20"/>
        </w:rPr>
        <w:t>项目编制单位：广州杰赛科技股份有限公司</w:t>
      </w:r>
    </w:p>
    <w:p>
      <w:pPr>
        <w:widowControl w:val="0"/>
        <w:spacing w:line="360" w:lineRule="auto"/>
        <w:ind w:firstLine="1920" w:firstLineChars="600"/>
        <w:rPr>
          <w:rFonts w:ascii="黑体" w:hAnsi="Times New Roman" w:eastAsia="黑体" w:cs="Times New Roman"/>
          <w:kern w:val="2"/>
          <w:sz w:val="32"/>
        </w:rPr>
      </w:pPr>
      <w:r>
        <w:rPr>
          <w:rFonts w:hint="eastAsia" w:ascii="黑体" w:hAnsi="Times New Roman" w:eastAsia="黑体" w:cs="Times New Roman"/>
          <w:kern w:val="2"/>
          <w:sz w:val="32"/>
        </w:rPr>
        <w:t>董</w:t>
      </w:r>
      <w:r>
        <w:rPr>
          <w:rFonts w:ascii="黑体" w:hAnsi="Times New Roman" w:eastAsia="黑体" w:cs="Times New Roman"/>
          <w:kern w:val="2"/>
          <w:sz w:val="32"/>
        </w:rPr>
        <w:t xml:space="preserve">    </w:t>
      </w:r>
      <w:r>
        <w:rPr>
          <w:rFonts w:hint="eastAsia" w:ascii="黑体" w:hAnsi="Times New Roman" w:eastAsia="黑体" w:cs="Times New Roman"/>
          <w:kern w:val="2"/>
          <w:sz w:val="32"/>
        </w:rPr>
        <w:t>事</w:t>
      </w:r>
      <w:r>
        <w:rPr>
          <w:rFonts w:ascii="黑体" w:hAnsi="Times New Roman" w:eastAsia="黑体" w:cs="Times New Roman"/>
          <w:kern w:val="2"/>
          <w:sz w:val="32"/>
        </w:rPr>
        <w:t xml:space="preserve">    </w:t>
      </w:r>
      <w:r>
        <w:rPr>
          <w:rFonts w:hint="eastAsia" w:ascii="黑体" w:hAnsi="Times New Roman" w:eastAsia="黑体" w:cs="Times New Roman"/>
          <w:kern w:val="2"/>
          <w:sz w:val="32"/>
        </w:rPr>
        <w:t>长：</w:t>
      </w:r>
      <w:r>
        <w:rPr>
          <w:rFonts w:ascii="黑体" w:hAnsi="Times New Roman" w:eastAsia="黑体" w:cs="Times New Roman"/>
          <w:kern w:val="2"/>
          <w:sz w:val="32"/>
        </w:rPr>
        <w:t xml:space="preserve"> </w:t>
      </w:r>
      <w:r>
        <w:rPr>
          <w:rFonts w:hint="eastAsia" w:ascii="黑体" w:hAnsi="Times New Roman" w:eastAsia="黑体" w:cs="Times New Roman"/>
          <w:kern w:val="2"/>
          <w:sz w:val="32"/>
        </w:rPr>
        <w:t>原</w:t>
      </w:r>
      <w:r>
        <w:rPr>
          <w:rFonts w:ascii="黑体" w:hAnsi="Times New Roman" w:eastAsia="黑体" w:cs="Times New Roman"/>
          <w:kern w:val="2"/>
          <w:sz w:val="32"/>
        </w:rPr>
        <w:t xml:space="preserve">  </w:t>
      </w:r>
      <w:r>
        <w:rPr>
          <w:rFonts w:hint="eastAsia" w:ascii="黑体" w:hAnsi="Times New Roman" w:eastAsia="黑体" w:cs="Times New Roman"/>
          <w:kern w:val="2"/>
          <w:sz w:val="32"/>
        </w:rPr>
        <w:t>普</w:t>
      </w:r>
    </w:p>
    <w:p>
      <w:pPr>
        <w:widowControl w:val="0"/>
        <w:spacing w:line="360" w:lineRule="auto"/>
        <w:ind w:firstLine="1920" w:firstLineChars="600"/>
        <w:jc w:val="both"/>
        <w:rPr>
          <w:rFonts w:ascii="黑体" w:hAnsi="Times New Roman" w:eastAsia="黑体" w:cs="Times New Roman"/>
          <w:kern w:val="2"/>
          <w:sz w:val="32"/>
        </w:rPr>
      </w:pPr>
      <w:r>
        <w:rPr>
          <w:rFonts w:hint="eastAsia" w:ascii="黑体" w:hAnsi="Times New Roman" w:eastAsia="黑体" w:cs="Times New Roman"/>
          <w:kern w:val="2"/>
          <w:sz w:val="32"/>
        </w:rPr>
        <w:t>分</w:t>
      </w:r>
      <w:r>
        <w:rPr>
          <w:rFonts w:ascii="黑体" w:hAnsi="Times New Roman" w:eastAsia="黑体" w:cs="Times New Roman"/>
          <w:kern w:val="2"/>
          <w:sz w:val="32"/>
        </w:rPr>
        <w:t xml:space="preserve"> </w:t>
      </w:r>
      <w:r>
        <w:rPr>
          <w:rFonts w:hint="eastAsia" w:ascii="黑体" w:hAnsi="Times New Roman" w:eastAsia="黑体" w:cs="Times New Roman"/>
          <w:kern w:val="2"/>
          <w:sz w:val="32"/>
        </w:rPr>
        <w:t>管</w:t>
      </w:r>
      <w:r>
        <w:rPr>
          <w:rFonts w:ascii="黑体" w:hAnsi="Times New Roman" w:eastAsia="黑体" w:cs="Times New Roman"/>
          <w:kern w:val="2"/>
          <w:sz w:val="32"/>
        </w:rPr>
        <w:t xml:space="preserve"> </w:t>
      </w:r>
      <w:r>
        <w:rPr>
          <w:rFonts w:hint="eastAsia" w:ascii="黑体" w:hAnsi="Times New Roman" w:eastAsia="黑体" w:cs="Times New Roman"/>
          <w:kern w:val="2"/>
          <w:sz w:val="32"/>
        </w:rPr>
        <w:t>副</w:t>
      </w:r>
      <w:r>
        <w:rPr>
          <w:rFonts w:ascii="黑体" w:hAnsi="Times New Roman" w:eastAsia="黑体" w:cs="Times New Roman"/>
          <w:kern w:val="2"/>
          <w:sz w:val="32"/>
        </w:rPr>
        <w:t xml:space="preserve"> </w:t>
      </w:r>
      <w:r>
        <w:rPr>
          <w:rFonts w:hint="eastAsia" w:ascii="黑体" w:hAnsi="Times New Roman" w:eastAsia="黑体" w:cs="Times New Roman"/>
          <w:kern w:val="2"/>
          <w:sz w:val="32"/>
        </w:rPr>
        <w:t>总</w:t>
      </w:r>
      <w:r>
        <w:rPr>
          <w:rFonts w:ascii="黑体" w:hAnsi="Times New Roman" w:eastAsia="黑体" w:cs="Times New Roman"/>
          <w:kern w:val="2"/>
          <w:sz w:val="32"/>
        </w:rPr>
        <w:t xml:space="preserve"> </w:t>
      </w:r>
      <w:r>
        <w:rPr>
          <w:rFonts w:hint="eastAsia" w:ascii="黑体" w:hAnsi="Times New Roman" w:eastAsia="黑体" w:cs="Times New Roman"/>
          <w:kern w:val="2"/>
          <w:sz w:val="32"/>
        </w:rPr>
        <w:t>裁：</w:t>
      </w:r>
      <w:r>
        <w:rPr>
          <w:rFonts w:ascii="黑体" w:hAnsi="Times New Roman" w:eastAsia="黑体" w:cs="Times New Roman"/>
          <w:kern w:val="2"/>
          <w:sz w:val="32"/>
        </w:rPr>
        <w:t xml:space="preserve"> </w:t>
      </w:r>
      <w:r>
        <w:rPr>
          <w:rFonts w:hint="eastAsia" w:ascii="黑体" w:hAnsi="Times New Roman" w:eastAsia="黑体" w:cs="Times New Roman"/>
          <w:kern w:val="2"/>
          <w:sz w:val="32"/>
        </w:rPr>
        <w:t>沈文明</w:t>
      </w:r>
    </w:p>
    <w:p>
      <w:pPr>
        <w:widowControl w:val="0"/>
        <w:spacing w:line="360" w:lineRule="auto"/>
        <w:ind w:firstLine="1920" w:firstLineChars="600"/>
        <w:jc w:val="both"/>
        <w:rPr>
          <w:rFonts w:ascii="黑体" w:hAnsi="Times New Roman" w:eastAsia="黑体" w:cs="Times New Roman"/>
          <w:kern w:val="2"/>
          <w:sz w:val="32"/>
        </w:rPr>
      </w:pPr>
      <w:r>
        <w:rPr>
          <w:rFonts w:hint="eastAsia" w:ascii="黑体" w:hAnsi="Times New Roman" w:eastAsia="黑体" w:cs="Times New Roman"/>
          <w:kern w:val="2"/>
          <w:sz w:val="32"/>
        </w:rPr>
        <w:t>分</w:t>
      </w:r>
      <w:r>
        <w:rPr>
          <w:rFonts w:ascii="黑体" w:hAnsi="Times New Roman" w:eastAsia="黑体" w:cs="Times New Roman"/>
          <w:kern w:val="2"/>
          <w:sz w:val="32"/>
        </w:rPr>
        <w:t xml:space="preserve"> </w:t>
      </w:r>
      <w:r>
        <w:rPr>
          <w:rFonts w:hint="eastAsia" w:ascii="黑体" w:hAnsi="Times New Roman" w:eastAsia="黑体" w:cs="Times New Roman"/>
          <w:kern w:val="2"/>
          <w:sz w:val="32"/>
        </w:rPr>
        <w:t>管</w:t>
      </w:r>
      <w:r>
        <w:rPr>
          <w:rFonts w:ascii="黑体" w:hAnsi="Times New Roman" w:eastAsia="黑体" w:cs="Times New Roman"/>
          <w:kern w:val="2"/>
          <w:sz w:val="32"/>
        </w:rPr>
        <w:t xml:space="preserve"> </w:t>
      </w:r>
      <w:r>
        <w:rPr>
          <w:rFonts w:hint="eastAsia" w:ascii="黑体" w:hAnsi="Times New Roman" w:eastAsia="黑体" w:cs="Times New Roman"/>
          <w:kern w:val="2"/>
          <w:sz w:val="32"/>
        </w:rPr>
        <w:t>总工程师：</w:t>
      </w:r>
      <w:r>
        <w:rPr>
          <w:rFonts w:ascii="黑体" w:hAnsi="Times New Roman" w:eastAsia="黑体" w:cs="Times New Roman"/>
          <w:kern w:val="2"/>
          <w:sz w:val="32"/>
        </w:rPr>
        <w:t xml:space="preserve"> </w:t>
      </w:r>
      <w:r>
        <w:rPr>
          <w:rFonts w:hint="eastAsia" w:ascii="黑体" w:hAnsi="Times New Roman" w:eastAsia="黑体" w:cs="Times New Roman"/>
          <w:kern w:val="2"/>
          <w:sz w:val="32"/>
        </w:rPr>
        <w:t>程</w:t>
      </w:r>
      <w:r>
        <w:rPr>
          <w:rFonts w:ascii="黑体" w:hAnsi="Times New Roman" w:eastAsia="黑体" w:cs="Times New Roman"/>
          <w:kern w:val="2"/>
          <w:sz w:val="32"/>
        </w:rPr>
        <w:t xml:space="preserve">  </w:t>
      </w:r>
      <w:r>
        <w:rPr>
          <w:rFonts w:hint="eastAsia" w:ascii="黑体" w:hAnsi="Times New Roman" w:eastAsia="黑体" w:cs="Times New Roman"/>
          <w:kern w:val="2"/>
          <w:sz w:val="32"/>
        </w:rPr>
        <w:t>敏</w:t>
      </w:r>
    </w:p>
    <w:p>
      <w:pPr>
        <w:widowControl w:val="0"/>
        <w:spacing w:line="360" w:lineRule="auto"/>
        <w:ind w:firstLine="1898" w:firstLineChars="505"/>
        <w:jc w:val="both"/>
        <w:rPr>
          <w:rFonts w:ascii="黑体" w:hAnsi="Times New Roman" w:eastAsia="黑体" w:cs="Times New Roman"/>
          <w:kern w:val="2"/>
          <w:sz w:val="32"/>
        </w:rPr>
      </w:pPr>
      <w:r>
        <w:rPr>
          <w:rFonts w:hint="eastAsia" w:ascii="黑体" w:hAnsi="Times New Roman" w:eastAsia="黑体" w:cs="Times New Roman"/>
          <w:spacing w:val="28"/>
          <w:kern w:val="2"/>
          <w:sz w:val="32"/>
        </w:rPr>
        <w:t>分管副总经理</w:t>
      </w:r>
      <w:r>
        <w:rPr>
          <w:rFonts w:hint="eastAsia" w:ascii="黑体" w:hAnsi="Times New Roman" w:eastAsia="黑体" w:cs="Times New Roman"/>
          <w:kern w:val="2"/>
          <w:sz w:val="32"/>
        </w:rPr>
        <w:t>：</w:t>
      </w:r>
      <w:r>
        <w:rPr>
          <w:rFonts w:ascii="黑体" w:hAnsi="Times New Roman" w:eastAsia="黑体" w:cs="Times New Roman"/>
          <w:kern w:val="2"/>
          <w:sz w:val="32"/>
        </w:rPr>
        <w:t xml:space="preserve"> </w:t>
      </w:r>
      <w:r>
        <w:rPr>
          <w:rFonts w:hint="eastAsia" w:ascii="黑体" w:hAnsi="Times New Roman" w:eastAsia="黑体" w:cs="Times New Roman"/>
          <w:kern w:val="2"/>
          <w:sz w:val="32"/>
        </w:rPr>
        <w:t>葛</w:t>
      </w:r>
      <w:r>
        <w:rPr>
          <w:rFonts w:ascii="黑体" w:hAnsi="Times New Roman" w:eastAsia="黑体" w:cs="Times New Roman"/>
          <w:kern w:val="2"/>
          <w:sz w:val="32"/>
        </w:rPr>
        <w:t xml:space="preserve">  </w:t>
      </w:r>
      <w:r>
        <w:rPr>
          <w:rFonts w:hint="eastAsia" w:ascii="黑体" w:hAnsi="Times New Roman" w:eastAsia="黑体" w:cs="Times New Roman"/>
          <w:kern w:val="2"/>
          <w:sz w:val="32"/>
        </w:rPr>
        <w:t>林</w:t>
      </w:r>
    </w:p>
    <w:p>
      <w:pPr>
        <w:widowControl w:val="0"/>
        <w:spacing w:line="360" w:lineRule="auto"/>
        <w:ind w:firstLine="1920" w:firstLineChars="600"/>
        <w:jc w:val="both"/>
        <w:rPr>
          <w:rFonts w:ascii="黑体" w:hAnsi="Times New Roman" w:eastAsia="黑体" w:cs="Times New Roman"/>
          <w:kern w:val="2"/>
          <w:sz w:val="32"/>
        </w:rPr>
      </w:pPr>
      <w:r>
        <w:rPr>
          <w:rFonts w:hint="eastAsia" w:ascii="黑体" w:hAnsi="Times New Roman" w:eastAsia="黑体" w:cs="Times New Roman"/>
          <w:kern w:val="2"/>
          <w:sz w:val="32"/>
        </w:rPr>
        <w:t>分</w:t>
      </w:r>
      <w:r>
        <w:rPr>
          <w:rFonts w:ascii="黑体" w:hAnsi="Times New Roman" w:eastAsia="黑体" w:cs="Times New Roman"/>
          <w:kern w:val="2"/>
          <w:sz w:val="32"/>
        </w:rPr>
        <w:t xml:space="preserve">  </w:t>
      </w:r>
      <w:r>
        <w:rPr>
          <w:rFonts w:hint="eastAsia" w:ascii="黑体" w:hAnsi="Times New Roman" w:eastAsia="黑体" w:cs="Times New Roman"/>
          <w:kern w:val="2"/>
          <w:sz w:val="32"/>
        </w:rPr>
        <w:t>院</w:t>
      </w:r>
      <w:r>
        <w:rPr>
          <w:rFonts w:ascii="黑体" w:hAnsi="Times New Roman" w:eastAsia="黑体" w:cs="Times New Roman"/>
          <w:kern w:val="2"/>
          <w:sz w:val="32"/>
        </w:rPr>
        <w:t xml:space="preserve">  </w:t>
      </w:r>
      <w:r>
        <w:rPr>
          <w:rFonts w:hint="eastAsia" w:ascii="黑体" w:hAnsi="Times New Roman" w:eastAsia="黑体" w:cs="Times New Roman"/>
          <w:kern w:val="2"/>
          <w:sz w:val="32"/>
        </w:rPr>
        <w:t>院</w:t>
      </w:r>
      <w:r>
        <w:rPr>
          <w:rFonts w:ascii="黑体" w:hAnsi="Times New Roman" w:eastAsia="黑体" w:cs="Times New Roman"/>
          <w:kern w:val="2"/>
          <w:sz w:val="32"/>
        </w:rPr>
        <w:t xml:space="preserve">  </w:t>
      </w:r>
      <w:r>
        <w:rPr>
          <w:rFonts w:hint="eastAsia" w:ascii="黑体" w:hAnsi="Times New Roman" w:eastAsia="黑体" w:cs="Times New Roman"/>
          <w:kern w:val="2"/>
          <w:sz w:val="32"/>
        </w:rPr>
        <w:t>长：</w:t>
      </w:r>
      <w:r>
        <w:rPr>
          <w:rFonts w:ascii="黑体" w:hAnsi="Times New Roman" w:eastAsia="黑体" w:cs="Times New Roman"/>
          <w:kern w:val="2"/>
          <w:sz w:val="32"/>
        </w:rPr>
        <w:t xml:space="preserve"> </w:t>
      </w:r>
      <w:r>
        <w:rPr>
          <w:rFonts w:hint="eastAsia" w:ascii="黑体" w:hAnsi="Times New Roman" w:eastAsia="黑体" w:cs="Times New Roman"/>
          <w:kern w:val="2"/>
          <w:sz w:val="32"/>
        </w:rPr>
        <w:t>蔡林峰</w:t>
      </w:r>
    </w:p>
    <w:p>
      <w:pPr>
        <w:widowControl w:val="0"/>
        <w:spacing w:line="360" w:lineRule="auto"/>
        <w:ind w:firstLine="1920" w:firstLineChars="600"/>
        <w:jc w:val="both"/>
        <w:rPr>
          <w:rFonts w:ascii="黑体" w:hAnsi="Times New Roman" w:eastAsia="黑体" w:cs="Times New Roman"/>
          <w:kern w:val="2"/>
          <w:sz w:val="32"/>
        </w:rPr>
      </w:pPr>
      <w:r>
        <w:rPr>
          <w:rFonts w:hint="eastAsia" w:ascii="黑体" w:hAnsi="Times New Roman" w:eastAsia="黑体" w:cs="Times New Roman"/>
          <w:kern w:val="2"/>
          <w:sz w:val="32"/>
        </w:rPr>
        <w:t>项</w:t>
      </w:r>
      <w:r>
        <w:rPr>
          <w:rFonts w:ascii="黑体" w:hAnsi="Times New Roman" w:eastAsia="黑体" w:cs="Times New Roman"/>
          <w:kern w:val="2"/>
          <w:sz w:val="32"/>
        </w:rPr>
        <w:t xml:space="preserve">  </w:t>
      </w:r>
      <w:r>
        <w:rPr>
          <w:rFonts w:hint="eastAsia" w:ascii="黑体" w:hAnsi="Times New Roman" w:eastAsia="黑体" w:cs="Times New Roman"/>
          <w:kern w:val="2"/>
          <w:sz w:val="32"/>
        </w:rPr>
        <w:t>目</w:t>
      </w:r>
      <w:r>
        <w:rPr>
          <w:rFonts w:ascii="黑体" w:hAnsi="Times New Roman" w:eastAsia="黑体" w:cs="Times New Roman"/>
          <w:kern w:val="2"/>
          <w:sz w:val="32"/>
        </w:rPr>
        <w:t xml:space="preserve">  </w:t>
      </w:r>
      <w:r>
        <w:rPr>
          <w:rFonts w:hint="eastAsia" w:ascii="黑体" w:hAnsi="Times New Roman" w:eastAsia="黑体" w:cs="Times New Roman"/>
          <w:kern w:val="2"/>
          <w:sz w:val="32"/>
        </w:rPr>
        <w:t>经</w:t>
      </w:r>
      <w:r>
        <w:rPr>
          <w:rFonts w:ascii="黑体" w:hAnsi="Times New Roman" w:eastAsia="黑体" w:cs="Times New Roman"/>
          <w:kern w:val="2"/>
          <w:sz w:val="32"/>
        </w:rPr>
        <w:t xml:space="preserve">  </w:t>
      </w:r>
      <w:r>
        <w:rPr>
          <w:rFonts w:hint="eastAsia" w:ascii="黑体" w:hAnsi="Times New Roman" w:eastAsia="黑体" w:cs="Times New Roman"/>
          <w:kern w:val="2"/>
          <w:sz w:val="32"/>
        </w:rPr>
        <w:t>理：</w:t>
      </w:r>
      <w:r>
        <w:rPr>
          <w:rFonts w:ascii="黑体" w:hAnsi="Times New Roman" w:eastAsia="黑体" w:cs="Times New Roman"/>
          <w:kern w:val="2"/>
          <w:sz w:val="32"/>
        </w:rPr>
        <w:t xml:space="preserve"> </w:t>
      </w:r>
      <w:r>
        <w:rPr>
          <w:rFonts w:hint="eastAsia" w:ascii="黑体" w:hAnsi="Times New Roman" w:eastAsia="黑体" w:cs="Times New Roman"/>
          <w:kern w:val="2"/>
          <w:sz w:val="32"/>
        </w:rPr>
        <w:t>胡先洪</w:t>
      </w:r>
    </w:p>
    <w:p>
      <w:pPr>
        <w:widowControl w:val="0"/>
        <w:spacing w:line="360" w:lineRule="auto"/>
        <w:ind w:firstLine="1920" w:firstLineChars="600"/>
        <w:jc w:val="both"/>
        <w:rPr>
          <w:rFonts w:ascii="黑体" w:hAnsi="Times New Roman" w:eastAsia="黑体" w:cs="Times New Roman"/>
          <w:kern w:val="2"/>
          <w:sz w:val="32"/>
        </w:rPr>
      </w:pPr>
      <w:r>
        <w:rPr>
          <w:rFonts w:hint="eastAsia" w:ascii="黑体" w:hAnsi="Times New Roman" w:eastAsia="黑体" w:cs="Times New Roman"/>
          <w:kern w:val="2"/>
          <w:sz w:val="32"/>
        </w:rPr>
        <w:t>审</w:t>
      </w:r>
      <w:r>
        <w:rPr>
          <w:rFonts w:ascii="黑体" w:hAnsi="Times New Roman" w:eastAsia="黑体" w:cs="Times New Roman"/>
          <w:kern w:val="2"/>
          <w:sz w:val="32"/>
        </w:rPr>
        <w:t xml:space="preserve">    </w:t>
      </w:r>
      <w:r>
        <w:rPr>
          <w:rFonts w:hint="eastAsia" w:ascii="黑体" w:hAnsi="Times New Roman" w:eastAsia="黑体" w:cs="Times New Roman"/>
          <w:kern w:val="2"/>
          <w:sz w:val="32"/>
        </w:rPr>
        <w:t>核</w:t>
      </w:r>
      <w:r>
        <w:rPr>
          <w:rFonts w:ascii="黑体" w:hAnsi="Times New Roman" w:eastAsia="黑体" w:cs="Times New Roman"/>
          <w:kern w:val="2"/>
          <w:sz w:val="32"/>
        </w:rPr>
        <w:t xml:space="preserve">    </w:t>
      </w:r>
      <w:r>
        <w:rPr>
          <w:rFonts w:hint="eastAsia" w:ascii="黑体" w:hAnsi="Times New Roman" w:eastAsia="黑体" w:cs="Times New Roman"/>
          <w:kern w:val="2"/>
          <w:sz w:val="32"/>
        </w:rPr>
        <w:t>人：</w:t>
      </w:r>
      <w:r>
        <w:rPr>
          <w:rFonts w:ascii="黑体" w:hAnsi="Times New Roman" w:eastAsia="黑体" w:cs="Times New Roman"/>
          <w:kern w:val="2"/>
          <w:sz w:val="32"/>
        </w:rPr>
        <w:t xml:space="preserve"> </w:t>
      </w:r>
      <w:r>
        <w:rPr>
          <w:rFonts w:hint="eastAsia" w:ascii="黑体" w:hAnsi="Times New Roman" w:eastAsia="黑体" w:cs="Times New Roman"/>
          <w:kern w:val="2"/>
          <w:sz w:val="32"/>
        </w:rPr>
        <w:t>唐杨春</w:t>
      </w:r>
    </w:p>
    <w:p>
      <w:pPr>
        <w:widowControl w:val="0"/>
        <w:spacing w:line="360" w:lineRule="auto"/>
        <w:ind w:firstLine="1920" w:firstLineChars="600"/>
        <w:jc w:val="both"/>
        <w:rPr>
          <w:rFonts w:ascii="黑体" w:hAnsi="Times New Roman" w:eastAsia="黑体" w:cs="Times New Roman"/>
          <w:b/>
          <w:kern w:val="2"/>
          <w:sz w:val="32"/>
        </w:rPr>
      </w:pPr>
      <w:r>
        <w:rPr>
          <w:rFonts w:hint="eastAsia" w:ascii="黑体" w:hAnsi="Times New Roman" w:eastAsia="黑体" w:cs="Times New Roman"/>
          <w:kern w:val="2"/>
          <w:sz w:val="32"/>
        </w:rPr>
        <w:t>单</w:t>
      </w:r>
      <w:r>
        <w:rPr>
          <w:rFonts w:ascii="黑体" w:hAnsi="Times New Roman" w:eastAsia="黑体" w:cs="Times New Roman"/>
          <w:kern w:val="2"/>
          <w:sz w:val="32"/>
        </w:rPr>
        <w:t xml:space="preserve"> </w:t>
      </w:r>
      <w:r>
        <w:rPr>
          <w:rFonts w:hint="eastAsia" w:ascii="黑体" w:hAnsi="Times New Roman" w:eastAsia="黑体" w:cs="Times New Roman"/>
          <w:kern w:val="2"/>
          <w:sz w:val="32"/>
        </w:rPr>
        <w:t>项</w:t>
      </w:r>
      <w:r>
        <w:rPr>
          <w:rFonts w:ascii="黑体" w:hAnsi="Times New Roman" w:eastAsia="黑体" w:cs="Times New Roman"/>
          <w:kern w:val="2"/>
          <w:sz w:val="32"/>
        </w:rPr>
        <w:t xml:space="preserve"> </w:t>
      </w:r>
      <w:r>
        <w:rPr>
          <w:rFonts w:hint="eastAsia" w:ascii="黑体" w:hAnsi="Times New Roman" w:eastAsia="黑体" w:cs="Times New Roman"/>
          <w:kern w:val="2"/>
          <w:sz w:val="32"/>
        </w:rPr>
        <w:t>负</w:t>
      </w:r>
      <w:r>
        <w:rPr>
          <w:rFonts w:ascii="黑体" w:hAnsi="Times New Roman" w:eastAsia="黑体" w:cs="Times New Roman"/>
          <w:kern w:val="2"/>
          <w:sz w:val="32"/>
        </w:rPr>
        <w:t xml:space="preserve"> </w:t>
      </w:r>
      <w:r>
        <w:rPr>
          <w:rFonts w:hint="eastAsia" w:ascii="黑体" w:hAnsi="Times New Roman" w:eastAsia="黑体" w:cs="Times New Roman"/>
          <w:kern w:val="2"/>
          <w:sz w:val="32"/>
        </w:rPr>
        <w:t>责</w:t>
      </w:r>
      <w:r>
        <w:rPr>
          <w:rFonts w:ascii="黑体" w:hAnsi="Times New Roman" w:eastAsia="黑体" w:cs="Times New Roman"/>
          <w:kern w:val="2"/>
          <w:sz w:val="32"/>
        </w:rPr>
        <w:t xml:space="preserve"> </w:t>
      </w:r>
      <w:r>
        <w:rPr>
          <w:rFonts w:hint="eastAsia" w:ascii="黑体" w:hAnsi="Times New Roman" w:eastAsia="黑体" w:cs="Times New Roman"/>
          <w:kern w:val="2"/>
          <w:sz w:val="32"/>
        </w:rPr>
        <w:t>人：</w:t>
      </w:r>
      <w:r>
        <w:rPr>
          <w:rFonts w:ascii="黑体" w:hAnsi="Times New Roman" w:eastAsia="黑体" w:cs="Times New Roman"/>
          <w:kern w:val="2"/>
          <w:sz w:val="32"/>
        </w:rPr>
        <w:t xml:space="preserve"> </w:t>
      </w:r>
      <w:r>
        <w:rPr>
          <w:rFonts w:hint="eastAsia" w:ascii="黑体" w:hAnsi="Times New Roman" w:eastAsia="黑体" w:cs="Times New Roman"/>
          <w:kern w:val="2"/>
          <w:sz w:val="32"/>
        </w:rPr>
        <w:t>陶</w:t>
      </w:r>
      <w:r>
        <w:rPr>
          <w:rFonts w:ascii="黑体" w:hAnsi="Times New Roman" w:eastAsia="黑体" w:cs="Times New Roman"/>
          <w:kern w:val="2"/>
          <w:sz w:val="32"/>
        </w:rPr>
        <w:t xml:space="preserve">  </w:t>
      </w:r>
      <w:r>
        <w:rPr>
          <w:rFonts w:hint="eastAsia" w:ascii="黑体" w:hAnsi="Times New Roman" w:eastAsia="黑体" w:cs="Times New Roman"/>
          <w:kern w:val="2"/>
          <w:sz w:val="32"/>
        </w:rPr>
        <w:t>攀</w:t>
      </w:r>
    </w:p>
    <w:p>
      <w:pPr>
        <w:rPr>
          <w:rFonts w:ascii="黑体" w:hAnsi="Times New Roman" w:eastAsia="黑体" w:cs="Times New Roman"/>
          <w:spacing w:val="28"/>
          <w:sz w:val="18"/>
          <w:szCs w:val="18"/>
        </w:rPr>
      </w:pPr>
    </w:p>
    <w:p>
      <w:pPr>
        <w:rPr>
          <w:rFonts w:ascii="黑体" w:hAnsi="Times New Roman" w:eastAsia="黑体" w:cs="Times New Roman"/>
          <w:spacing w:val="28"/>
          <w:sz w:val="18"/>
          <w:szCs w:val="18"/>
        </w:rPr>
      </w:pPr>
    </w:p>
    <w:p>
      <w:pPr>
        <w:rPr>
          <w:rFonts w:ascii="黑体" w:hAnsi="Times New Roman" w:eastAsia="黑体" w:cs="Times New Roman"/>
          <w:spacing w:val="28"/>
          <w:sz w:val="18"/>
          <w:szCs w:val="18"/>
        </w:rPr>
      </w:pPr>
    </w:p>
    <w:p>
      <w:pPr>
        <w:rPr>
          <w:rFonts w:ascii="黑体" w:hAnsi="Times New Roman" w:eastAsia="黑体" w:cs="Times New Roman"/>
          <w:spacing w:val="28"/>
          <w:sz w:val="18"/>
          <w:szCs w:val="18"/>
        </w:rPr>
      </w:pPr>
    </w:p>
    <w:p>
      <w:pPr>
        <w:jc w:val="center"/>
        <w:rPr>
          <w:rFonts w:ascii="黑体" w:hAnsi="黑体" w:eastAsia="黑体"/>
          <w:sz w:val="32"/>
          <w:szCs w:val="32"/>
        </w:rPr>
      </w:pPr>
      <w:r>
        <w:rPr>
          <w:rFonts w:ascii="黑体" w:hAnsi="黑体" w:eastAsia="黑体"/>
          <w:sz w:val="32"/>
          <w:szCs w:val="32"/>
        </w:rPr>
        <w:t>2020</w:t>
      </w:r>
      <w:r>
        <w:rPr>
          <w:rFonts w:hint="eastAsia" w:ascii="黑体" w:hAnsi="黑体" w:eastAsia="黑体"/>
          <w:sz w:val="32"/>
          <w:szCs w:val="32"/>
        </w:rPr>
        <w:t>年</w:t>
      </w:r>
      <w:r>
        <w:rPr>
          <w:rFonts w:ascii="黑体" w:hAnsi="黑体" w:eastAsia="黑体"/>
          <w:sz w:val="32"/>
          <w:szCs w:val="32"/>
        </w:rPr>
        <w:t>1</w:t>
      </w:r>
      <w:r>
        <w:rPr>
          <w:rFonts w:hint="eastAsia" w:ascii="黑体" w:hAnsi="黑体" w:eastAsia="黑体"/>
          <w:sz w:val="32"/>
          <w:szCs w:val="32"/>
        </w:rPr>
        <w:t>月</w:t>
      </w:r>
    </w:p>
    <w:p>
      <w:pPr>
        <w:tabs>
          <w:tab w:val="left" w:pos="1526"/>
        </w:tabs>
      </w:pPr>
    </w:p>
    <w:p/>
    <w:p/>
    <w:p/>
    <w:p/>
    <w:p/>
    <w:p/>
    <w:p/>
    <w:p/>
    <w:p/>
    <w:p/>
    <w:p/>
    <w:p/>
    <w:p/>
    <w:p/>
    <w:p>
      <w:pPr>
        <w:pStyle w:val="4"/>
        <w:numPr>
          <w:ilvl w:val="0"/>
          <w:numId w:val="10"/>
        </w:numPr>
        <w:jc w:val="right"/>
        <w:rPr>
          <w:sz w:val="144"/>
          <w:szCs w:val="144"/>
        </w:rPr>
        <w:sectPr>
          <w:headerReference r:id="rId3" w:type="default"/>
          <w:footerReference r:id="rId4" w:type="default"/>
          <w:type w:val="continuous"/>
          <w:pgSz w:w="11906" w:h="16838"/>
          <w:pgMar w:top="1389" w:right="1287" w:bottom="1389" w:left="1287" w:header="510" w:footer="992" w:gutter="0"/>
          <w:cols w:space="425" w:num="1"/>
          <w:docGrid w:type="linesAndChars" w:linePitch="326" w:charSpace="0"/>
        </w:sectPr>
      </w:pPr>
      <w:r>
        <w:pict>
          <v:rect id="_x0000_s1040" o:spid="_x0000_s1040" o:spt="1" style="position:absolute;left:0pt;margin-left:-114.7pt;margin-top:98.75pt;height:22.55pt;width:646.9pt;z-index:251661312;v-text-anchor:middle;mso-width-relative:page;mso-height-relative:page;" fillcolor="#F6F9FC" filled="t" stroked="f" coordsize="21600,21600" o:gfxdata="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An5UwtgA&#10;AAANAQAADwAAAAAAAAABACAAAAAiAAAAZHJzL2Rvd25yZXYueG1sUEsBAhQAFAAAAAgAh07iQIJV&#10;Fv3KAgAAmgUAAA4AAAAAAAAAAQAgAAAAJwEAAGRycy9lMm9Eb2MueG1sUEsFBgAAAAAGAAYAWQEA&#10;AGMGAAAAAA==&#10;">
            <v:path/>
            <v:fill type="gradient" on="t" color2="#000000" angle="54" focus="100%" focussize="0,0" rotate="t">
              <o:fill type="gradientUnscaled" v:ext="backwardCompatible"/>
            </v:fill>
            <v:stroke on="f" weight="2pt"/>
            <v:imagedata o:title=""/>
            <o:lock v:ext="edit"/>
            <v:textbox>
              <w:txbxContent>
                <w:p>
                  <w:pPr>
                    <w:jc w:val="center"/>
                  </w:pPr>
                </w:p>
              </w:txbxContent>
            </v:textbox>
          </v:rect>
        </w:pict>
      </w:r>
      <w:r>
        <w:t xml:space="preserve"> </w:t>
      </w:r>
      <w:r>
        <w:rPr>
          <w:rFonts w:hint="eastAsia"/>
          <w:sz w:val="144"/>
          <w:szCs w:val="144"/>
        </w:rPr>
        <w:t>文</w:t>
      </w:r>
      <w:r>
        <w:rPr>
          <w:sz w:val="144"/>
          <w:szCs w:val="144"/>
        </w:rPr>
        <w:t xml:space="preserve"> </w:t>
      </w:r>
      <w:r>
        <w:rPr>
          <w:rFonts w:hint="eastAsia"/>
          <w:sz w:val="144"/>
          <w:szCs w:val="144"/>
        </w:rPr>
        <w:t>本</w:t>
      </w:r>
    </w:p>
    <w:p>
      <w:pPr>
        <w:rPr>
          <w:rFonts w:ascii="Times New Roman" w:hAnsi="Times New Roman" w:eastAsia="黑体" w:cs="Times New Roman"/>
          <w:color w:val="000000"/>
          <w:spacing w:val="200"/>
          <w:sz w:val="32"/>
          <w:szCs w:val="32"/>
        </w:rPr>
      </w:pPr>
    </w:p>
    <w:p>
      <w:pPr>
        <w:tabs>
          <w:tab w:val="left" w:pos="1526"/>
        </w:tabs>
      </w:pPr>
    </w:p>
    <w:p/>
    <w:p/>
    <w:p/>
    <w:p/>
    <w:p/>
    <w:p/>
    <w:p/>
    <w:p/>
    <w:p/>
    <w:p/>
    <w:p/>
    <w:p/>
    <w:p/>
    <w:p/>
    <w:p>
      <w:pPr>
        <w:jc w:val="center"/>
        <w:rPr>
          <w:rFonts w:ascii="黑体" w:hAnsi="黑体" w:eastAsia="黑体"/>
          <w:sz w:val="32"/>
          <w:szCs w:val="32"/>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389" w:right="1287" w:bottom="1389" w:left="1287" w:header="510" w:footer="992" w:gutter="0"/>
          <w:pgNumType w:start="1"/>
          <w:cols w:space="425" w:num="1"/>
          <w:docGrid w:type="linesAndChars" w:linePitch="326" w:charSpace="0"/>
        </w:sectPr>
      </w:pPr>
    </w:p>
    <w:p>
      <w:pPr>
        <w:pStyle w:val="101"/>
        <w:tabs>
          <w:tab w:val="center" w:pos="4666"/>
          <w:tab w:val="left" w:pos="7680"/>
        </w:tabs>
        <w:snapToGrid w:val="0"/>
        <w:spacing w:before="326" w:after="326"/>
        <w:contextualSpacing/>
        <w:jc w:val="left"/>
        <w:rPr>
          <w:rFonts w:ascii="方正黑体_GBK" w:eastAsia="方正黑体_GBK" w:cs="Times New Roman"/>
          <w:b/>
          <w:sz w:val="36"/>
          <w:szCs w:val="36"/>
        </w:rPr>
      </w:pPr>
      <w:r>
        <w:rPr>
          <w:rFonts w:cs="Times New Roman"/>
        </w:rPr>
        <w:tab/>
      </w:r>
      <w:r>
        <w:rPr>
          <w:rFonts w:hint="eastAsia" w:cs="Times New Roman"/>
        </w:rPr>
        <w:t>目录</w:t>
      </w:r>
      <w:r>
        <w:rPr>
          <w:rFonts w:cs="Times New Roman"/>
        </w:rPr>
        <w:tab/>
      </w:r>
    </w:p>
    <w:p>
      <w:pPr>
        <w:pStyle w:val="23"/>
        <w:rPr>
          <w:kern w:val="2"/>
          <w:sz w:val="21"/>
        </w:rPr>
      </w:pPr>
      <w:r>
        <w:rPr>
          <w:rFonts w:ascii="方正黑体_GBK" w:hAnsi="宋体" w:eastAsia="方正黑体_GBK"/>
          <w:b/>
          <w:sz w:val="30"/>
          <w:szCs w:val="30"/>
        </w:rPr>
        <w:fldChar w:fldCharType="begin"/>
      </w:r>
      <w:r>
        <w:rPr>
          <w:rFonts w:ascii="方正黑体_GBK" w:hAnsi="宋体" w:eastAsia="方正黑体_GBK"/>
          <w:b/>
          <w:sz w:val="30"/>
          <w:szCs w:val="30"/>
        </w:rPr>
        <w:instrText xml:space="preserve"> TOC \o "1-3" \h \z \u </w:instrText>
      </w:r>
      <w:r>
        <w:rPr>
          <w:rFonts w:ascii="方正黑体_GBK" w:hAnsi="宋体" w:eastAsia="方正黑体_GBK"/>
          <w:b/>
          <w:sz w:val="30"/>
          <w:szCs w:val="30"/>
        </w:rPr>
        <w:fldChar w:fldCharType="separate"/>
      </w:r>
      <w:r>
        <w:fldChar w:fldCharType="begin"/>
      </w:r>
      <w:r>
        <w:instrText xml:space="preserve"> HYPERLINK \l "_Toc55385995" </w:instrText>
      </w:r>
      <w:r>
        <w:fldChar w:fldCharType="separate"/>
      </w:r>
      <w:r>
        <w:rPr>
          <w:rStyle w:val="34"/>
          <w:rFonts w:hint="eastAsia" w:ascii="黑体" w:hAnsi="黑体" w:eastAsia="黑体"/>
        </w:rPr>
        <w:t>第一章</w:t>
      </w:r>
      <w:r>
        <w:rPr>
          <w:rStyle w:val="34"/>
          <w:rFonts w:ascii="黑体" w:hAnsi="黑体" w:eastAsia="黑体"/>
        </w:rPr>
        <w:t xml:space="preserve">  </w:t>
      </w:r>
      <w:r>
        <w:rPr>
          <w:rStyle w:val="34"/>
          <w:rFonts w:hint="eastAsia" w:ascii="黑体" w:hAnsi="黑体" w:eastAsia="黑体"/>
        </w:rPr>
        <w:t>总则</w:t>
      </w:r>
      <w:r>
        <w:tab/>
      </w:r>
      <w:r>
        <w:fldChar w:fldCharType="begin"/>
      </w:r>
      <w:r>
        <w:instrText xml:space="preserve"> PAGEREF _Toc55385995 \h </w:instrText>
      </w:r>
      <w:r>
        <w:fldChar w:fldCharType="separate"/>
      </w:r>
      <w:r>
        <w:t>3</w:t>
      </w:r>
      <w:r>
        <w:fldChar w:fldCharType="end"/>
      </w:r>
      <w:r>
        <w:fldChar w:fldCharType="end"/>
      </w:r>
    </w:p>
    <w:p>
      <w:pPr>
        <w:pStyle w:val="26"/>
        <w:tabs>
          <w:tab w:val="right" w:leader="dot" w:pos="9322"/>
        </w:tabs>
        <w:rPr>
          <w:kern w:val="2"/>
          <w:sz w:val="21"/>
        </w:rPr>
      </w:pPr>
      <w:r>
        <w:fldChar w:fldCharType="begin"/>
      </w:r>
      <w:r>
        <w:instrText xml:space="preserve"> HYPERLINK \l "_Toc55385996" </w:instrText>
      </w:r>
      <w:r>
        <w:fldChar w:fldCharType="separate"/>
      </w:r>
      <w:r>
        <w:rPr>
          <w:rStyle w:val="34"/>
          <w:rFonts w:hint="eastAsia"/>
        </w:rPr>
        <w:t>第一条</w:t>
      </w:r>
      <w:r>
        <w:rPr>
          <w:rStyle w:val="34"/>
        </w:rPr>
        <w:t xml:space="preserve"> </w:t>
      </w:r>
      <w:r>
        <w:rPr>
          <w:rStyle w:val="34"/>
          <w:rFonts w:hint="eastAsia"/>
        </w:rPr>
        <w:t>规划范围及内容</w:t>
      </w:r>
      <w:r>
        <w:tab/>
      </w:r>
      <w:r>
        <w:fldChar w:fldCharType="begin"/>
      </w:r>
      <w:r>
        <w:instrText xml:space="preserve"> PAGEREF _Toc55385996 \h </w:instrText>
      </w:r>
      <w:r>
        <w:fldChar w:fldCharType="separate"/>
      </w:r>
      <w:r>
        <w:t>3</w:t>
      </w:r>
      <w:r>
        <w:fldChar w:fldCharType="end"/>
      </w:r>
      <w:r>
        <w:fldChar w:fldCharType="end"/>
      </w:r>
    </w:p>
    <w:p>
      <w:pPr>
        <w:pStyle w:val="26"/>
        <w:tabs>
          <w:tab w:val="right" w:leader="dot" w:pos="9322"/>
        </w:tabs>
        <w:rPr>
          <w:kern w:val="2"/>
          <w:sz w:val="21"/>
        </w:rPr>
      </w:pPr>
      <w:r>
        <w:fldChar w:fldCharType="begin"/>
      </w:r>
      <w:r>
        <w:instrText xml:space="preserve"> HYPERLINK \l "_Toc55385997" </w:instrText>
      </w:r>
      <w:r>
        <w:fldChar w:fldCharType="separate"/>
      </w:r>
      <w:r>
        <w:rPr>
          <w:rStyle w:val="34"/>
          <w:rFonts w:hint="eastAsia"/>
        </w:rPr>
        <w:t>第二条</w:t>
      </w:r>
      <w:r>
        <w:rPr>
          <w:rStyle w:val="34"/>
        </w:rPr>
        <w:t xml:space="preserve"> </w:t>
      </w:r>
      <w:r>
        <w:rPr>
          <w:rStyle w:val="34"/>
          <w:rFonts w:hint="eastAsia"/>
        </w:rPr>
        <w:t>规划目标</w:t>
      </w:r>
      <w:r>
        <w:tab/>
      </w:r>
      <w:r>
        <w:fldChar w:fldCharType="begin"/>
      </w:r>
      <w:r>
        <w:instrText xml:space="preserve"> PAGEREF _Toc55385997 \h </w:instrText>
      </w:r>
      <w:r>
        <w:fldChar w:fldCharType="separate"/>
      </w:r>
      <w:r>
        <w:t>4</w:t>
      </w:r>
      <w:r>
        <w:fldChar w:fldCharType="end"/>
      </w:r>
      <w:r>
        <w:fldChar w:fldCharType="end"/>
      </w:r>
    </w:p>
    <w:p>
      <w:pPr>
        <w:pStyle w:val="26"/>
        <w:tabs>
          <w:tab w:val="right" w:leader="dot" w:pos="9322"/>
        </w:tabs>
        <w:rPr>
          <w:kern w:val="2"/>
          <w:sz w:val="21"/>
        </w:rPr>
      </w:pPr>
      <w:r>
        <w:fldChar w:fldCharType="begin"/>
      </w:r>
      <w:r>
        <w:instrText xml:space="preserve"> HYPERLINK \l "_Toc55385998" </w:instrText>
      </w:r>
      <w:r>
        <w:fldChar w:fldCharType="separate"/>
      </w:r>
      <w:r>
        <w:rPr>
          <w:rStyle w:val="34"/>
          <w:rFonts w:hint="eastAsia"/>
        </w:rPr>
        <w:t>第三条</w:t>
      </w:r>
      <w:r>
        <w:rPr>
          <w:rStyle w:val="34"/>
        </w:rPr>
        <w:t xml:space="preserve"> </w:t>
      </w:r>
      <w:r>
        <w:rPr>
          <w:rStyle w:val="34"/>
          <w:rFonts w:hint="eastAsia"/>
        </w:rPr>
        <w:t>规划依据</w:t>
      </w:r>
      <w:r>
        <w:tab/>
      </w:r>
      <w:r>
        <w:fldChar w:fldCharType="begin"/>
      </w:r>
      <w:r>
        <w:instrText xml:space="preserve"> PAGEREF _Toc55385998 \h </w:instrText>
      </w:r>
      <w:r>
        <w:fldChar w:fldCharType="separate"/>
      </w:r>
      <w:r>
        <w:t>5</w:t>
      </w:r>
      <w:r>
        <w:fldChar w:fldCharType="end"/>
      </w:r>
      <w:r>
        <w:fldChar w:fldCharType="end"/>
      </w:r>
    </w:p>
    <w:p>
      <w:pPr>
        <w:pStyle w:val="26"/>
        <w:tabs>
          <w:tab w:val="right" w:leader="dot" w:pos="9322"/>
        </w:tabs>
        <w:rPr>
          <w:kern w:val="2"/>
          <w:sz w:val="21"/>
        </w:rPr>
      </w:pPr>
      <w:r>
        <w:fldChar w:fldCharType="begin"/>
      </w:r>
      <w:r>
        <w:instrText xml:space="preserve"> HYPERLINK \l "_Toc55385999" </w:instrText>
      </w:r>
      <w:r>
        <w:fldChar w:fldCharType="separate"/>
      </w:r>
      <w:r>
        <w:rPr>
          <w:rStyle w:val="34"/>
          <w:rFonts w:hint="eastAsia"/>
        </w:rPr>
        <w:t>第四条</w:t>
      </w:r>
      <w:r>
        <w:rPr>
          <w:rStyle w:val="34"/>
        </w:rPr>
        <w:t xml:space="preserve"> </w:t>
      </w:r>
      <w:r>
        <w:rPr>
          <w:rStyle w:val="34"/>
          <w:rFonts w:hint="eastAsia"/>
        </w:rPr>
        <w:t>规划原则</w:t>
      </w:r>
      <w:r>
        <w:tab/>
      </w:r>
      <w:r>
        <w:fldChar w:fldCharType="begin"/>
      </w:r>
      <w:r>
        <w:instrText xml:space="preserve"> PAGEREF _Toc55385999 \h </w:instrText>
      </w:r>
      <w:r>
        <w:fldChar w:fldCharType="separate"/>
      </w:r>
      <w:r>
        <w:t>6</w:t>
      </w:r>
      <w:r>
        <w:fldChar w:fldCharType="end"/>
      </w:r>
      <w:r>
        <w:fldChar w:fldCharType="end"/>
      </w:r>
    </w:p>
    <w:p>
      <w:pPr>
        <w:pStyle w:val="23"/>
        <w:rPr>
          <w:kern w:val="2"/>
          <w:sz w:val="21"/>
        </w:rPr>
      </w:pPr>
      <w:r>
        <w:fldChar w:fldCharType="begin"/>
      </w:r>
      <w:r>
        <w:instrText xml:space="preserve"> HYPERLINK \l "_Toc55386000" </w:instrText>
      </w:r>
      <w:r>
        <w:fldChar w:fldCharType="separate"/>
      </w:r>
      <w:r>
        <w:rPr>
          <w:rStyle w:val="34"/>
          <w:rFonts w:hint="eastAsia" w:ascii="黑体" w:hAnsi="黑体" w:eastAsia="黑体"/>
        </w:rPr>
        <w:t>第二章</w:t>
      </w:r>
      <w:r>
        <w:rPr>
          <w:rStyle w:val="34"/>
          <w:rFonts w:ascii="黑体" w:hAnsi="黑体" w:eastAsia="黑体"/>
        </w:rPr>
        <w:t xml:space="preserve">  </w:t>
      </w:r>
      <w:r>
        <w:rPr>
          <w:rStyle w:val="34"/>
          <w:rFonts w:hint="eastAsia" w:ascii="黑体" w:hAnsi="黑体" w:eastAsia="黑体"/>
        </w:rPr>
        <w:t>通信基础设施现状</w:t>
      </w:r>
      <w:r>
        <w:tab/>
      </w:r>
      <w:r>
        <w:fldChar w:fldCharType="begin"/>
      </w:r>
      <w:r>
        <w:instrText xml:space="preserve"> PAGEREF _Toc55386000 \h </w:instrText>
      </w:r>
      <w:r>
        <w:fldChar w:fldCharType="separate"/>
      </w:r>
      <w:r>
        <w:t>8</w:t>
      </w:r>
      <w:r>
        <w:fldChar w:fldCharType="end"/>
      </w:r>
      <w:r>
        <w:fldChar w:fldCharType="end"/>
      </w:r>
    </w:p>
    <w:p>
      <w:pPr>
        <w:pStyle w:val="26"/>
        <w:tabs>
          <w:tab w:val="right" w:leader="dot" w:pos="9322"/>
        </w:tabs>
        <w:rPr>
          <w:kern w:val="2"/>
          <w:sz w:val="21"/>
        </w:rPr>
      </w:pPr>
      <w:r>
        <w:fldChar w:fldCharType="begin"/>
      </w:r>
      <w:r>
        <w:instrText xml:space="preserve"> HYPERLINK \l "_Toc55386001" </w:instrText>
      </w:r>
      <w:r>
        <w:fldChar w:fldCharType="separate"/>
      </w:r>
      <w:r>
        <w:rPr>
          <w:rStyle w:val="34"/>
          <w:rFonts w:hint="eastAsia"/>
        </w:rPr>
        <w:t>第一条</w:t>
      </w:r>
      <w:r>
        <w:rPr>
          <w:rStyle w:val="34"/>
        </w:rPr>
        <w:t xml:space="preserve"> </w:t>
      </w:r>
      <w:r>
        <w:rPr>
          <w:rStyle w:val="34"/>
          <w:rFonts w:hint="eastAsia"/>
        </w:rPr>
        <w:t>综合现状</w:t>
      </w:r>
      <w:r>
        <w:tab/>
      </w:r>
      <w:r>
        <w:fldChar w:fldCharType="begin"/>
      </w:r>
      <w:r>
        <w:instrText xml:space="preserve"> PAGEREF _Toc55386001 \h </w:instrText>
      </w:r>
      <w:r>
        <w:fldChar w:fldCharType="separate"/>
      </w:r>
      <w:r>
        <w:t>8</w:t>
      </w:r>
      <w:r>
        <w:fldChar w:fldCharType="end"/>
      </w:r>
      <w:r>
        <w:fldChar w:fldCharType="end"/>
      </w:r>
    </w:p>
    <w:p>
      <w:pPr>
        <w:pStyle w:val="26"/>
        <w:tabs>
          <w:tab w:val="right" w:leader="dot" w:pos="9322"/>
        </w:tabs>
        <w:rPr>
          <w:kern w:val="2"/>
          <w:sz w:val="21"/>
        </w:rPr>
      </w:pPr>
      <w:r>
        <w:fldChar w:fldCharType="begin"/>
      </w:r>
      <w:r>
        <w:instrText xml:space="preserve"> HYPERLINK \l "_Toc55386002" </w:instrText>
      </w:r>
      <w:r>
        <w:fldChar w:fldCharType="separate"/>
      </w:r>
      <w:r>
        <w:rPr>
          <w:rStyle w:val="34"/>
          <w:rFonts w:hint="eastAsia"/>
        </w:rPr>
        <w:t>第二条</w:t>
      </w:r>
      <w:r>
        <w:rPr>
          <w:rStyle w:val="34"/>
        </w:rPr>
        <w:t xml:space="preserve"> </w:t>
      </w:r>
      <w:r>
        <w:rPr>
          <w:rStyle w:val="34"/>
          <w:rFonts w:hint="eastAsia"/>
        </w:rPr>
        <w:t>通信机房现状</w:t>
      </w:r>
      <w:r>
        <w:tab/>
      </w:r>
      <w:r>
        <w:fldChar w:fldCharType="begin"/>
      </w:r>
      <w:r>
        <w:instrText xml:space="preserve"> PAGEREF _Toc55386002 \h </w:instrText>
      </w:r>
      <w:r>
        <w:fldChar w:fldCharType="separate"/>
      </w:r>
      <w:r>
        <w:t>8</w:t>
      </w:r>
      <w:r>
        <w:fldChar w:fldCharType="end"/>
      </w:r>
      <w:r>
        <w:fldChar w:fldCharType="end"/>
      </w:r>
    </w:p>
    <w:p>
      <w:pPr>
        <w:pStyle w:val="26"/>
        <w:tabs>
          <w:tab w:val="right" w:leader="dot" w:pos="9322"/>
        </w:tabs>
        <w:rPr>
          <w:kern w:val="2"/>
          <w:sz w:val="21"/>
        </w:rPr>
      </w:pPr>
      <w:r>
        <w:fldChar w:fldCharType="begin"/>
      </w:r>
      <w:r>
        <w:instrText xml:space="preserve"> HYPERLINK \l "_Toc55386003" </w:instrText>
      </w:r>
      <w:r>
        <w:fldChar w:fldCharType="separate"/>
      </w:r>
      <w:r>
        <w:rPr>
          <w:rStyle w:val="34"/>
          <w:rFonts w:hint="eastAsia"/>
        </w:rPr>
        <w:t>第三条</w:t>
      </w:r>
      <w:r>
        <w:rPr>
          <w:rStyle w:val="34"/>
        </w:rPr>
        <w:t xml:space="preserve"> </w:t>
      </w:r>
      <w:r>
        <w:rPr>
          <w:rStyle w:val="34"/>
          <w:rFonts w:hint="eastAsia"/>
        </w:rPr>
        <w:t>通信基站现状</w:t>
      </w:r>
      <w:r>
        <w:tab/>
      </w:r>
      <w:r>
        <w:fldChar w:fldCharType="begin"/>
      </w:r>
      <w:r>
        <w:instrText xml:space="preserve"> PAGEREF _Toc55386003 \h </w:instrText>
      </w:r>
      <w:r>
        <w:fldChar w:fldCharType="separate"/>
      </w:r>
      <w:r>
        <w:t>8</w:t>
      </w:r>
      <w:r>
        <w:fldChar w:fldCharType="end"/>
      </w:r>
      <w:r>
        <w:fldChar w:fldCharType="end"/>
      </w:r>
    </w:p>
    <w:p>
      <w:pPr>
        <w:pStyle w:val="26"/>
        <w:tabs>
          <w:tab w:val="right" w:leader="dot" w:pos="9322"/>
        </w:tabs>
        <w:rPr>
          <w:kern w:val="2"/>
          <w:sz w:val="21"/>
        </w:rPr>
      </w:pPr>
      <w:r>
        <w:fldChar w:fldCharType="begin"/>
      </w:r>
      <w:r>
        <w:instrText xml:space="preserve"> HYPERLINK \l "_Toc55386004" </w:instrText>
      </w:r>
      <w:r>
        <w:fldChar w:fldCharType="separate"/>
      </w:r>
      <w:r>
        <w:rPr>
          <w:rStyle w:val="34"/>
          <w:rFonts w:hint="eastAsia"/>
        </w:rPr>
        <w:t>第四条</w:t>
      </w:r>
      <w:r>
        <w:rPr>
          <w:rStyle w:val="34"/>
        </w:rPr>
        <w:t xml:space="preserve"> </w:t>
      </w:r>
      <w:r>
        <w:rPr>
          <w:rStyle w:val="34"/>
          <w:rFonts w:hint="eastAsia"/>
        </w:rPr>
        <w:t>现阶段通信规划建设面临的挑战</w:t>
      </w:r>
      <w:r>
        <w:tab/>
      </w:r>
      <w:r>
        <w:fldChar w:fldCharType="begin"/>
      </w:r>
      <w:r>
        <w:instrText xml:space="preserve"> PAGEREF _Toc55386004 \h </w:instrText>
      </w:r>
      <w:r>
        <w:fldChar w:fldCharType="separate"/>
      </w:r>
      <w:r>
        <w:t>8</w:t>
      </w:r>
      <w:r>
        <w:fldChar w:fldCharType="end"/>
      </w:r>
      <w:r>
        <w:fldChar w:fldCharType="end"/>
      </w:r>
    </w:p>
    <w:p>
      <w:pPr>
        <w:pStyle w:val="23"/>
        <w:rPr>
          <w:kern w:val="2"/>
          <w:sz w:val="21"/>
        </w:rPr>
      </w:pPr>
      <w:r>
        <w:fldChar w:fldCharType="begin"/>
      </w:r>
      <w:r>
        <w:instrText xml:space="preserve"> HYPERLINK \l "_Toc55386005" </w:instrText>
      </w:r>
      <w:r>
        <w:fldChar w:fldCharType="separate"/>
      </w:r>
      <w:r>
        <w:rPr>
          <w:rStyle w:val="34"/>
          <w:rFonts w:hint="eastAsia" w:ascii="黑体" w:hAnsi="黑体" w:eastAsia="黑体"/>
        </w:rPr>
        <w:t>第三章</w:t>
      </w:r>
      <w:r>
        <w:rPr>
          <w:rStyle w:val="34"/>
          <w:rFonts w:ascii="黑体" w:hAnsi="黑体" w:eastAsia="黑体"/>
        </w:rPr>
        <w:t xml:space="preserve">  5G</w:t>
      </w:r>
      <w:r>
        <w:rPr>
          <w:rStyle w:val="34"/>
          <w:rFonts w:hint="eastAsia" w:ascii="黑体" w:hAnsi="黑体" w:eastAsia="黑体"/>
        </w:rPr>
        <w:t>通信基础设施需求</w:t>
      </w:r>
      <w:r>
        <w:tab/>
      </w:r>
      <w:r>
        <w:fldChar w:fldCharType="begin"/>
      </w:r>
      <w:r>
        <w:instrText xml:space="preserve"> PAGEREF _Toc55386005 \h </w:instrText>
      </w:r>
      <w:r>
        <w:fldChar w:fldCharType="separate"/>
      </w:r>
      <w:r>
        <w:t>10</w:t>
      </w:r>
      <w:r>
        <w:fldChar w:fldCharType="end"/>
      </w:r>
      <w:r>
        <w:fldChar w:fldCharType="end"/>
      </w:r>
    </w:p>
    <w:p>
      <w:pPr>
        <w:pStyle w:val="26"/>
        <w:tabs>
          <w:tab w:val="right" w:leader="dot" w:pos="9322"/>
        </w:tabs>
        <w:rPr>
          <w:kern w:val="2"/>
          <w:sz w:val="21"/>
        </w:rPr>
      </w:pPr>
      <w:r>
        <w:fldChar w:fldCharType="begin"/>
      </w:r>
      <w:r>
        <w:instrText xml:space="preserve"> HYPERLINK \l "_Toc55386006" </w:instrText>
      </w:r>
      <w:r>
        <w:fldChar w:fldCharType="separate"/>
      </w:r>
      <w:r>
        <w:rPr>
          <w:rStyle w:val="34"/>
          <w:rFonts w:hint="eastAsia"/>
        </w:rPr>
        <w:t>第一条</w:t>
      </w:r>
      <w:r>
        <w:rPr>
          <w:rStyle w:val="34"/>
        </w:rPr>
        <w:t xml:space="preserve"> 5G</w:t>
      </w:r>
      <w:r>
        <w:rPr>
          <w:rStyle w:val="34"/>
          <w:rFonts w:hint="eastAsia"/>
        </w:rPr>
        <w:t>通信基础设施需求</w:t>
      </w:r>
      <w:r>
        <w:tab/>
      </w:r>
      <w:r>
        <w:fldChar w:fldCharType="begin"/>
      </w:r>
      <w:r>
        <w:instrText xml:space="preserve"> PAGEREF _Toc55386006 \h </w:instrText>
      </w:r>
      <w:r>
        <w:fldChar w:fldCharType="separate"/>
      </w:r>
      <w:r>
        <w:t>10</w:t>
      </w:r>
      <w:r>
        <w:fldChar w:fldCharType="end"/>
      </w:r>
      <w:r>
        <w:fldChar w:fldCharType="end"/>
      </w:r>
    </w:p>
    <w:p>
      <w:pPr>
        <w:pStyle w:val="26"/>
        <w:tabs>
          <w:tab w:val="right" w:leader="dot" w:pos="9322"/>
        </w:tabs>
        <w:rPr>
          <w:kern w:val="2"/>
          <w:sz w:val="21"/>
        </w:rPr>
      </w:pPr>
      <w:r>
        <w:fldChar w:fldCharType="begin"/>
      </w:r>
      <w:r>
        <w:instrText xml:space="preserve"> HYPERLINK \l "_Toc55386007" </w:instrText>
      </w:r>
      <w:r>
        <w:fldChar w:fldCharType="separate"/>
      </w:r>
      <w:r>
        <w:rPr>
          <w:rStyle w:val="34"/>
          <w:rFonts w:hint="eastAsia"/>
        </w:rPr>
        <w:t>第二条</w:t>
      </w:r>
      <w:r>
        <w:rPr>
          <w:rStyle w:val="34"/>
        </w:rPr>
        <w:t xml:space="preserve"> 5G</w:t>
      </w:r>
      <w:r>
        <w:rPr>
          <w:rStyle w:val="34"/>
          <w:rFonts w:hint="eastAsia"/>
        </w:rPr>
        <w:t>发展现状及意义</w:t>
      </w:r>
      <w:r>
        <w:tab/>
      </w:r>
      <w:r>
        <w:fldChar w:fldCharType="begin"/>
      </w:r>
      <w:r>
        <w:instrText xml:space="preserve"> PAGEREF _Toc55386007 \h </w:instrText>
      </w:r>
      <w:r>
        <w:fldChar w:fldCharType="separate"/>
      </w:r>
      <w:r>
        <w:t>10</w:t>
      </w:r>
      <w:r>
        <w:fldChar w:fldCharType="end"/>
      </w:r>
      <w:r>
        <w:fldChar w:fldCharType="end"/>
      </w:r>
    </w:p>
    <w:p>
      <w:pPr>
        <w:pStyle w:val="26"/>
        <w:tabs>
          <w:tab w:val="right" w:leader="dot" w:pos="9322"/>
        </w:tabs>
        <w:rPr>
          <w:kern w:val="2"/>
          <w:sz w:val="21"/>
        </w:rPr>
      </w:pPr>
      <w:r>
        <w:fldChar w:fldCharType="begin"/>
      </w:r>
      <w:r>
        <w:instrText xml:space="preserve"> HYPERLINK \l "_Toc55386008" </w:instrText>
      </w:r>
      <w:r>
        <w:fldChar w:fldCharType="separate"/>
      </w:r>
      <w:r>
        <w:rPr>
          <w:rStyle w:val="34"/>
          <w:rFonts w:hint="eastAsia"/>
        </w:rPr>
        <w:t>第三条</w:t>
      </w:r>
      <w:r>
        <w:rPr>
          <w:rStyle w:val="34"/>
        </w:rPr>
        <w:t xml:space="preserve"> 5G</w:t>
      </w:r>
      <w:r>
        <w:rPr>
          <w:rStyle w:val="34"/>
          <w:rFonts w:hint="eastAsia"/>
        </w:rPr>
        <w:t>基站规划方法</w:t>
      </w:r>
      <w:r>
        <w:tab/>
      </w:r>
      <w:r>
        <w:fldChar w:fldCharType="begin"/>
      </w:r>
      <w:r>
        <w:instrText xml:space="preserve"> PAGEREF _Toc55386008 \h </w:instrText>
      </w:r>
      <w:r>
        <w:fldChar w:fldCharType="separate"/>
      </w:r>
      <w:r>
        <w:t>11</w:t>
      </w:r>
      <w:r>
        <w:fldChar w:fldCharType="end"/>
      </w:r>
      <w:r>
        <w:fldChar w:fldCharType="end"/>
      </w:r>
    </w:p>
    <w:p>
      <w:pPr>
        <w:pStyle w:val="26"/>
        <w:tabs>
          <w:tab w:val="right" w:leader="dot" w:pos="9322"/>
        </w:tabs>
        <w:rPr>
          <w:kern w:val="2"/>
          <w:sz w:val="21"/>
        </w:rPr>
      </w:pPr>
      <w:r>
        <w:fldChar w:fldCharType="begin"/>
      </w:r>
      <w:r>
        <w:instrText xml:space="preserve"> HYPERLINK \l "_Toc55386009" </w:instrText>
      </w:r>
      <w:r>
        <w:fldChar w:fldCharType="separate"/>
      </w:r>
      <w:r>
        <w:rPr>
          <w:rStyle w:val="34"/>
          <w:rFonts w:hint="eastAsia"/>
        </w:rPr>
        <w:t>第四条</w:t>
      </w:r>
      <w:r>
        <w:rPr>
          <w:rStyle w:val="34"/>
        </w:rPr>
        <w:t xml:space="preserve"> 5G</w:t>
      </w:r>
      <w:r>
        <w:rPr>
          <w:rStyle w:val="34"/>
          <w:rFonts w:hint="eastAsia"/>
        </w:rPr>
        <w:t>综合接入机房规划方法</w:t>
      </w:r>
      <w:r>
        <w:tab/>
      </w:r>
      <w:r>
        <w:fldChar w:fldCharType="begin"/>
      </w:r>
      <w:r>
        <w:instrText xml:space="preserve"> PAGEREF _Toc55386009 \h </w:instrText>
      </w:r>
      <w:r>
        <w:fldChar w:fldCharType="separate"/>
      </w:r>
      <w:r>
        <w:t>12</w:t>
      </w:r>
      <w:r>
        <w:fldChar w:fldCharType="end"/>
      </w:r>
      <w:r>
        <w:fldChar w:fldCharType="end"/>
      </w:r>
    </w:p>
    <w:p>
      <w:pPr>
        <w:pStyle w:val="23"/>
        <w:rPr>
          <w:kern w:val="2"/>
          <w:sz w:val="21"/>
        </w:rPr>
      </w:pPr>
      <w:r>
        <w:fldChar w:fldCharType="begin"/>
      </w:r>
      <w:r>
        <w:instrText xml:space="preserve"> HYPERLINK \l "_Toc55386010" </w:instrText>
      </w:r>
      <w:r>
        <w:fldChar w:fldCharType="separate"/>
      </w:r>
      <w:r>
        <w:rPr>
          <w:rStyle w:val="34"/>
          <w:rFonts w:hint="eastAsia" w:ascii="黑体" w:hAnsi="黑体" w:eastAsia="黑体"/>
        </w:rPr>
        <w:t>第四章</w:t>
      </w:r>
      <w:r>
        <w:rPr>
          <w:rStyle w:val="34"/>
          <w:rFonts w:ascii="黑体" w:hAnsi="黑体" w:eastAsia="黑体"/>
        </w:rPr>
        <w:t xml:space="preserve">  5G</w:t>
      </w:r>
      <w:r>
        <w:rPr>
          <w:rStyle w:val="34"/>
          <w:rFonts w:hint="eastAsia" w:ascii="黑体" w:hAnsi="黑体" w:eastAsia="黑体"/>
        </w:rPr>
        <w:t>通信基础设施规划</w:t>
      </w:r>
      <w:r>
        <w:tab/>
      </w:r>
      <w:r>
        <w:fldChar w:fldCharType="begin"/>
      </w:r>
      <w:r>
        <w:instrText xml:space="preserve"> PAGEREF _Toc55386010 \h </w:instrText>
      </w:r>
      <w:r>
        <w:fldChar w:fldCharType="separate"/>
      </w:r>
      <w:r>
        <w:t>13</w:t>
      </w:r>
      <w:r>
        <w:fldChar w:fldCharType="end"/>
      </w:r>
      <w:r>
        <w:fldChar w:fldCharType="end"/>
      </w:r>
    </w:p>
    <w:p>
      <w:pPr>
        <w:pStyle w:val="26"/>
        <w:tabs>
          <w:tab w:val="right" w:leader="dot" w:pos="9322"/>
        </w:tabs>
        <w:rPr>
          <w:kern w:val="2"/>
          <w:sz w:val="21"/>
        </w:rPr>
      </w:pPr>
      <w:r>
        <w:fldChar w:fldCharType="begin"/>
      </w:r>
      <w:r>
        <w:instrText xml:space="preserve"> HYPERLINK \l "_Toc55386011" </w:instrText>
      </w:r>
      <w:r>
        <w:fldChar w:fldCharType="separate"/>
      </w:r>
      <w:r>
        <w:rPr>
          <w:rStyle w:val="34"/>
          <w:rFonts w:hint="eastAsia"/>
        </w:rPr>
        <w:t>第一条</w:t>
      </w:r>
      <w:r>
        <w:rPr>
          <w:rStyle w:val="34"/>
        </w:rPr>
        <w:t xml:space="preserve"> </w:t>
      </w:r>
      <w:r>
        <w:rPr>
          <w:rStyle w:val="34"/>
          <w:rFonts w:hint="eastAsia"/>
        </w:rPr>
        <w:t>总体要求</w:t>
      </w:r>
      <w:r>
        <w:tab/>
      </w:r>
      <w:r>
        <w:fldChar w:fldCharType="begin"/>
      </w:r>
      <w:r>
        <w:instrText xml:space="preserve"> PAGEREF _Toc55386011 \h </w:instrText>
      </w:r>
      <w:r>
        <w:fldChar w:fldCharType="separate"/>
      </w:r>
      <w:r>
        <w:t>13</w:t>
      </w:r>
      <w:r>
        <w:fldChar w:fldCharType="end"/>
      </w:r>
      <w:r>
        <w:fldChar w:fldCharType="end"/>
      </w:r>
    </w:p>
    <w:p>
      <w:pPr>
        <w:pStyle w:val="26"/>
        <w:tabs>
          <w:tab w:val="right" w:leader="dot" w:pos="9322"/>
        </w:tabs>
        <w:rPr>
          <w:kern w:val="2"/>
          <w:sz w:val="21"/>
        </w:rPr>
      </w:pPr>
      <w:r>
        <w:fldChar w:fldCharType="begin"/>
      </w:r>
      <w:r>
        <w:instrText xml:space="preserve"> HYPERLINK \l "_Toc55386012" </w:instrText>
      </w:r>
      <w:r>
        <w:fldChar w:fldCharType="separate"/>
      </w:r>
      <w:r>
        <w:rPr>
          <w:rStyle w:val="34"/>
          <w:rFonts w:hint="eastAsia"/>
        </w:rPr>
        <w:t>第二条</w:t>
      </w:r>
      <w:r>
        <w:rPr>
          <w:rStyle w:val="34"/>
        </w:rPr>
        <w:t xml:space="preserve"> 5G</w:t>
      </w:r>
      <w:r>
        <w:rPr>
          <w:rStyle w:val="34"/>
          <w:rFonts w:hint="eastAsia"/>
        </w:rPr>
        <w:t>基站选址通则</w:t>
      </w:r>
      <w:r>
        <w:tab/>
      </w:r>
      <w:r>
        <w:fldChar w:fldCharType="begin"/>
      </w:r>
      <w:r>
        <w:instrText xml:space="preserve"> PAGEREF _Toc55386012 \h </w:instrText>
      </w:r>
      <w:r>
        <w:fldChar w:fldCharType="separate"/>
      </w:r>
      <w:r>
        <w:t>14</w:t>
      </w:r>
      <w:r>
        <w:fldChar w:fldCharType="end"/>
      </w:r>
      <w:r>
        <w:fldChar w:fldCharType="end"/>
      </w:r>
    </w:p>
    <w:p>
      <w:pPr>
        <w:pStyle w:val="26"/>
        <w:tabs>
          <w:tab w:val="right" w:leader="dot" w:pos="9322"/>
        </w:tabs>
        <w:rPr>
          <w:kern w:val="2"/>
          <w:sz w:val="21"/>
        </w:rPr>
      </w:pPr>
      <w:r>
        <w:fldChar w:fldCharType="begin"/>
      </w:r>
      <w:r>
        <w:instrText xml:space="preserve"> HYPERLINK \l "_Toc55386013" </w:instrText>
      </w:r>
      <w:r>
        <w:fldChar w:fldCharType="separate"/>
      </w:r>
      <w:r>
        <w:rPr>
          <w:rStyle w:val="34"/>
          <w:rFonts w:hint="eastAsia"/>
        </w:rPr>
        <w:t>第三条</w:t>
      </w:r>
      <w:r>
        <w:rPr>
          <w:rStyle w:val="34"/>
        </w:rPr>
        <w:t xml:space="preserve"> 5G</w:t>
      </w:r>
      <w:r>
        <w:rPr>
          <w:rStyle w:val="34"/>
          <w:rFonts w:hint="eastAsia"/>
        </w:rPr>
        <w:t>通信基站建设形式</w:t>
      </w:r>
      <w:r>
        <w:tab/>
      </w:r>
      <w:r>
        <w:fldChar w:fldCharType="begin"/>
      </w:r>
      <w:r>
        <w:instrText xml:space="preserve"> PAGEREF _Toc55386013 \h </w:instrText>
      </w:r>
      <w:r>
        <w:fldChar w:fldCharType="separate"/>
      </w:r>
      <w:r>
        <w:t>16</w:t>
      </w:r>
      <w:r>
        <w:fldChar w:fldCharType="end"/>
      </w:r>
      <w:r>
        <w:fldChar w:fldCharType="end"/>
      </w:r>
    </w:p>
    <w:p>
      <w:pPr>
        <w:pStyle w:val="26"/>
        <w:tabs>
          <w:tab w:val="right" w:leader="dot" w:pos="9322"/>
        </w:tabs>
        <w:rPr>
          <w:kern w:val="2"/>
          <w:sz w:val="21"/>
        </w:rPr>
      </w:pPr>
      <w:r>
        <w:fldChar w:fldCharType="begin"/>
      </w:r>
      <w:r>
        <w:instrText xml:space="preserve"> HYPERLINK \l "_Toc55386014" </w:instrText>
      </w:r>
      <w:r>
        <w:fldChar w:fldCharType="separate"/>
      </w:r>
      <w:r>
        <w:rPr>
          <w:rStyle w:val="34"/>
          <w:rFonts w:hint="eastAsia"/>
        </w:rPr>
        <w:t>第四条</w:t>
      </w:r>
      <w:r>
        <w:rPr>
          <w:rStyle w:val="34"/>
        </w:rPr>
        <w:t xml:space="preserve"> 5G</w:t>
      </w:r>
      <w:r>
        <w:rPr>
          <w:rStyle w:val="34"/>
          <w:rFonts w:hint="eastAsia"/>
        </w:rPr>
        <w:t>通信基站安全性要求</w:t>
      </w:r>
      <w:r>
        <w:tab/>
      </w:r>
      <w:r>
        <w:fldChar w:fldCharType="begin"/>
      </w:r>
      <w:r>
        <w:instrText xml:space="preserve"> PAGEREF _Toc55386014 \h </w:instrText>
      </w:r>
      <w:r>
        <w:fldChar w:fldCharType="separate"/>
      </w:r>
      <w:r>
        <w:t>17</w:t>
      </w:r>
      <w:r>
        <w:fldChar w:fldCharType="end"/>
      </w:r>
      <w:r>
        <w:fldChar w:fldCharType="end"/>
      </w:r>
    </w:p>
    <w:p>
      <w:pPr>
        <w:pStyle w:val="26"/>
        <w:tabs>
          <w:tab w:val="right" w:leader="dot" w:pos="9322"/>
        </w:tabs>
        <w:rPr>
          <w:kern w:val="2"/>
          <w:sz w:val="21"/>
        </w:rPr>
      </w:pPr>
      <w:r>
        <w:fldChar w:fldCharType="begin"/>
      </w:r>
      <w:r>
        <w:instrText xml:space="preserve"> HYPERLINK \l "_Toc55386015" </w:instrText>
      </w:r>
      <w:r>
        <w:fldChar w:fldCharType="separate"/>
      </w:r>
      <w:r>
        <w:rPr>
          <w:rStyle w:val="34"/>
          <w:rFonts w:hint="eastAsia"/>
        </w:rPr>
        <w:t>第六条</w:t>
      </w:r>
      <w:r>
        <w:rPr>
          <w:rStyle w:val="34"/>
        </w:rPr>
        <w:t xml:space="preserve"> 5G</w:t>
      </w:r>
      <w:r>
        <w:rPr>
          <w:rStyle w:val="34"/>
          <w:rFonts w:hint="eastAsia"/>
        </w:rPr>
        <w:t>通信基站站址调整原则</w:t>
      </w:r>
      <w:r>
        <w:tab/>
      </w:r>
      <w:r>
        <w:fldChar w:fldCharType="begin"/>
      </w:r>
      <w:r>
        <w:instrText xml:space="preserve"> PAGEREF _Toc55386015 \h </w:instrText>
      </w:r>
      <w:r>
        <w:fldChar w:fldCharType="separate"/>
      </w:r>
      <w:r>
        <w:t>21</w:t>
      </w:r>
      <w:r>
        <w:fldChar w:fldCharType="end"/>
      </w:r>
      <w:r>
        <w:fldChar w:fldCharType="end"/>
      </w:r>
    </w:p>
    <w:p>
      <w:pPr>
        <w:pStyle w:val="26"/>
        <w:tabs>
          <w:tab w:val="right" w:leader="dot" w:pos="9322"/>
        </w:tabs>
        <w:rPr>
          <w:kern w:val="2"/>
          <w:sz w:val="21"/>
        </w:rPr>
      </w:pPr>
      <w:r>
        <w:fldChar w:fldCharType="begin"/>
      </w:r>
      <w:r>
        <w:instrText xml:space="preserve"> HYPERLINK \l "_Toc55386016" </w:instrText>
      </w:r>
      <w:r>
        <w:fldChar w:fldCharType="separate"/>
      </w:r>
      <w:r>
        <w:rPr>
          <w:rStyle w:val="34"/>
          <w:rFonts w:hint="eastAsia"/>
        </w:rPr>
        <w:t>第七条</w:t>
      </w:r>
      <w:r>
        <w:rPr>
          <w:rStyle w:val="34"/>
        </w:rPr>
        <w:t xml:space="preserve"> 5G</w:t>
      </w:r>
      <w:r>
        <w:rPr>
          <w:rStyle w:val="34"/>
          <w:rFonts w:hint="eastAsia"/>
        </w:rPr>
        <w:t>站址规划成果</w:t>
      </w:r>
      <w:r>
        <w:tab/>
      </w:r>
      <w:r>
        <w:fldChar w:fldCharType="begin"/>
      </w:r>
      <w:r>
        <w:instrText xml:space="preserve"> PAGEREF _Toc55386016 \h </w:instrText>
      </w:r>
      <w:r>
        <w:fldChar w:fldCharType="separate"/>
      </w:r>
      <w:r>
        <w:t>22</w:t>
      </w:r>
      <w:r>
        <w:fldChar w:fldCharType="end"/>
      </w:r>
      <w:r>
        <w:fldChar w:fldCharType="end"/>
      </w:r>
    </w:p>
    <w:p>
      <w:pPr>
        <w:pStyle w:val="26"/>
        <w:tabs>
          <w:tab w:val="right" w:leader="dot" w:pos="9322"/>
        </w:tabs>
        <w:rPr>
          <w:kern w:val="2"/>
          <w:sz w:val="21"/>
        </w:rPr>
      </w:pPr>
      <w:r>
        <w:fldChar w:fldCharType="begin"/>
      </w:r>
      <w:r>
        <w:instrText xml:space="preserve"> HYPERLINK \l "_Toc55386017" </w:instrText>
      </w:r>
      <w:r>
        <w:fldChar w:fldCharType="separate"/>
      </w:r>
      <w:r>
        <w:rPr>
          <w:rStyle w:val="34"/>
          <w:rFonts w:hint="eastAsia"/>
        </w:rPr>
        <w:t>第八条</w:t>
      </w:r>
      <w:r>
        <w:rPr>
          <w:rStyle w:val="34"/>
        </w:rPr>
        <w:t xml:space="preserve"> 5G</w:t>
      </w:r>
      <w:r>
        <w:rPr>
          <w:rStyle w:val="34"/>
          <w:rFonts w:hint="eastAsia"/>
        </w:rPr>
        <w:t>综合接入机房规划</w:t>
      </w:r>
      <w:r>
        <w:tab/>
      </w:r>
      <w:r>
        <w:fldChar w:fldCharType="begin"/>
      </w:r>
      <w:r>
        <w:instrText xml:space="preserve"> PAGEREF _Toc55386017 \h </w:instrText>
      </w:r>
      <w:r>
        <w:fldChar w:fldCharType="separate"/>
      </w:r>
      <w:r>
        <w:t>24</w:t>
      </w:r>
      <w:r>
        <w:fldChar w:fldCharType="end"/>
      </w:r>
      <w:r>
        <w:fldChar w:fldCharType="end"/>
      </w:r>
    </w:p>
    <w:p>
      <w:pPr>
        <w:pStyle w:val="23"/>
        <w:rPr>
          <w:kern w:val="2"/>
          <w:sz w:val="21"/>
        </w:rPr>
      </w:pPr>
      <w:r>
        <w:fldChar w:fldCharType="begin"/>
      </w:r>
      <w:r>
        <w:instrText xml:space="preserve"> HYPERLINK \l "_Toc55386018" </w:instrText>
      </w:r>
      <w:r>
        <w:fldChar w:fldCharType="separate"/>
      </w:r>
      <w:r>
        <w:rPr>
          <w:rStyle w:val="34"/>
          <w:rFonts w:hint="eastAsia" w:ascii="黑体" w:hAnsi="黑体" w:eastAsia="黑体"/>
        </w:rPr>
        <w:t>第五章</w:t>
      </w:r>
      <w:r>
        <w:rPr>
          <w:rStyle w:val="34"/>
          <w:rFonts w:ascii="黑体" w:hAnsi="黑体" w:eastAsia="黑体"/>
        </w:rPr>
        <w:t xml:space="preserve">  5G</w:t>
      </w:r>
      <w:r>
        <w:rPr>
          <w:rStyle w:val="34"/>
          <w:rFonts w:hint="eastAsia" w:ascii="黑体" w:hAnsi="黑体" w:eastAsia="黑体"/>
        </w:rPr>
        <w:t>通信基础设施规划实施</w:t>
      </w:r>
      <w:r>
        <w:tab/>
      </w:r>
      <w:r>
        <w:fldChar w:fldCharType="begin"/>
      </w:r>
      <w:r>
        <w:instrText xml:space="preserve"> PAGEREF _Toc55386018 \h </w:instrText>
      </w:r>
      <w:r>
        <w:fldChar w:fldCharType="separate"/>
      </w:r>
      <w:r>
        <w:t>26</w:t>
      </w:r>
      <w:r>
        <w:fldChar w:fldCharType="end"/>
      </w:r>
      <w:r>
        <w:fldChar w:fldCharType="end"/>
      </w:r>
    </w:p>
    <w:p>
      <w:pPr>
        <w:pStyle w:val="26"/>
        <w:tabs>
          <w:tab w:val="right" w:leader="dot" w:pos="9322"/>
        </w:tabs>
        <w:rPr>
          <w:kern w:val="2"/>
          <w:sz w:val="21"/>
        </w:rPr>
      </w:pPr>
      <w:r>
        <w:fldChar w:fldCharType="begin"/>
      </w:r>
      <w:r>
        <w:instrText xml:space="preserve"> HYPERLINK \l "_Toc55386019" </w:instrText>
      </w:r>
      <w:r>
        <w:fldChar w:fldCharType="separate"/>
      </w:r>
      <w:r>
        <w:rPr>
          <w:rStyle w:val="34"/>
          <w:rFonts w:hint="eastAsia"/>
        </w:rPr>
        <w:t>第一条</w:t>
      </w:r>
      <w:r>
        <w:rPr>
          <w:rStyle w:val="34"/>
        </w:rPr>
        <w:t xml:space="preserve"> </w:t>
      </w:r>
      <w:r>
        <w:rPr>
          <w:rStyle w:val="34"/>
          <w:rFonts w:hint="eastAsia"/>
        </w:rPr>
        <w:t>规划修改方式</w:t>
      </w:r>
      <w:r>
        <w:tab/>
      </w:r>
      <w:r>
        <w:fldChar w:fldCharType="begin"/>
      </w:r>
      <w:r>
        <w:instrText xml:space="preserve"> PAGEREF _Toc55386019 \h </w:instrText>
      </w:r>
      <w:r>
        <w:fldChar w:fldCharType="separate"/>
      </w:r>
      <w:r>
        <w:t>26</w:t>
      </w:r>
      <w:r>
        <w:fldChar w:fldCharType="end"/>
      </w:r>
      <w:r>
        <w:fldChar w:fldCharType="end"/>
      </w:r>
    </w:p>
    <w:p>
      <w:pPr>
        <w:pStyle w:val="26"/>
        <w:tabs>
          <w:tab w:val="right" w:leader="dot" w:pos="9322"/>
        </w:tabs>
        <w:rPr>
          <w:kern w:val="2"/>
          <w:sz w:val="21"/>
        </w:rPr>
      </w:pPr>
      <w:r>
        <w:fldChar w:fldCharType="begin"/>
      </w:r>
      <w:r>
        <w:instrText xml:space="preserve"> HYPERLINK \l "_Toc55386020" </w:instrText>
      </w:r>
      <w:r>
        <w:fldChar w:fldCharType="separate"/>
      </w:r>
      <w:r>
        <w:rPr>
          <w:rStyle w:val="34"/>
          <w:rFonts w:hint="eastAsia"/>
        </w:rPr>
        <w:t>第二条</w:t>
      </w:r>
      <w:r>
        <w:rPr>
          <w:rStyle w:val="34"/>
        </w:rPr>
        <w:t xml:space="preserve"> </w:t>
      </w:r>
      <w:r>
        <w:rPr>
          <w:rStyle w:val="34"/>
          <w:rFonts w:hint="eastAsia"/>
        </w:rPr>
        <w:t>不独立占地通信设施规划修改</w:t>
      </w:r>
      <w:r>
        <w:tab/>
      </w:r>
      <w:r>
        <w:fldChar w:fldCharType="begin"/>
      </w:r>
      <w:r>
        <w:instrText xml:space="preserve"> PAGEREF _Toc55386020 \h </w:instrText>
      </w:r>
      <w:r>
        <w:fldChar w:fldCharType="separate"/>
      </w:r>
      <w:r>
        <w:t>26</w:t>
      </w:r>
      <w:r>
        <w:fldChar w:fldCharType="end"/>
      </w:r>
      <w:r>
        <w:fldChar w:fldCharType="end"/>
      </w:r>
    </w:p>
    <w:p>
      <w:pPr>
        <w:pStyle w:val="26"/>
        <w:tabs>
          <w:tab w:val="right" w:leader="dot" w:pos="9322"/>
        </w:tabs>
        <w:rPr>
          <w:kern w:val="2"/>
          <w:sz w:val="21"/>
        </w:rPr>
      </w:pPr>
      <w:r>
        <w:fldChar w:fldCharType="begin"/>
      </w:r>
      <w:r>
        <w:instrText xml:space="preserve"> HYPERLINK \l "_Toc55386021" </w:instrText>
      </w:r>
      <w:r>
        <w:fldChar w:fldCharType="separate"/>
      </w:r>
      <w:r>
        <w:rPr>
          <w:rStyle w:val="34"/>
          <w:rFonts w:hint="eastAsia"/>
        </w:rPr>
        <w:t>第三条</w:t>
      </w:r>
      <w:r>
        <w:rPr>
          <w:rStyle w:val="34"/>
        </w:rPr>
        <w:t xml:space="preserve"> </w:t>
      </w:r>
      <w:r>
        <w:rPr>
          <w:rStyle w:val="34"/>
          <w:rFonts w:hint="eastAsia"/>
        </w:rPr>
        <w:t>独立占地设施规划修改</w:t>
      </w:r>
      <w:r>
        <w:tab/>
      </w:r>
      <w:r>
        <w:fldChar w:fldCharType="begin"/>
      </w:r>
      <w:r>
        <w:instrText xml:space="preserve"> PAGEREF _Toc55386021 \h </w:instrText>
      </w:r>
      <w:r>
        <w:fldChar w:fldCharType="separate"/>
      </w:r>
      <w:r>
        <w:t>26</w:t>
      </w:r>
      <w:r>
        <w:fldChar w:fldCharType="end"/>
      </w:r>
      <w:r>
        <w:fldChar w:fldCharType="end"/>
      </w:r>
    </w:p>
    <w:p>
      <w:pPr>
        <w:pStyle w:val="26"/>
        <w:tabs>
          <w:tab w:val="right" w:leader="dot" w:pos="9322"/>
        </w:tabs>
        <w:rPr>
          <w:kern w:val="2"/>
          <w:sz w:val="21"/>
        </w:rPr>
      </w:pPr>
      <w:r>
        <w:fldChar w:fldCharType="begin"/>
      </w:r>
      <w:r>
        <w:instrText xml:space="preserve"> HYPERLINK \l "_Toc55386022" </w:instrText>
      </w:r>
      <w:r>
        <w:fldChar w:fldCharType="separate"/>
      </w:r>
      <w:r>
        <w:rPr>
          <w:rStyle w:val="34"/>
          <w:rFonts w:hint="eastAsia"/>
        </w:rPr>
        <w:t>第四条</w:t>
      </w:r>
      <w:r>
        <w:rPr>
          <w:rStyle w:val="34"/>
        </w:rPr>
        <w:t xml:space="preserve"> </w:t>
      </w:r>
      <w:r>
        <w:rPr>
          <w:rStyle w:val="34"/>
          <w:rFonts w:hint="eastAsia"/>
        </w:rPr>
        <w:t>应急通信</w:t>
      </w:r>
      <w:r>
        <w:tab/>
      </w:r>
      <w:r>
        <w:fldChar w:fldCharType="begin"/>
      </w:r>
      <w:r>
        <w:instrText xml:space="preserve"> PAGEREF _Toc55386022 \h </w:instrText>
      </w:r>
      <w:r>
        <w:fldChar w:fldCharType="separate"/>
      </w:r>
      <w:r>
        <w:t>26</w:t>
      </w:r>
      <w:r>
        <w:fldChar w:fldCharType="end"/>
      </w:r>
      <w:r>
        <w:fldChar w:fldCharType="end"/>
      </w:r>
    </w:p>
    <w:p>
      <w:pPr>
        <w:pStyle w:val="26"/>
        <w:tabs>
          <w:tab w:val="right" w:leader="dot" w:pos="9322"/>
        </w:tabs>
        <w:rPr>
          <w:kern w:val="2"/>
          <w:sz w:val="21"/>
        </w:rPr>
      </w:pPr>
      <w:r>
        <w:fldChar w:fldCharType="begin"/>
      </w:r>
      <w:r>
        <w:instrText xml:space="preserve"> HYPERLINK \l "_Toc55386023" </w:instrText>
      </w:r>
      <w:r>
        <w:fldChar w:fldCharType="separate"/>
      </w:r>
      <w:r>
        <w:rPr>
          <w:rStyle w:val="34"/>
          <w:rFonts w:hint="eastAsia"/>
        </w:rPr>
        <w:t>第五条</w:t>
      </w:r>
      <w:r>
        <w:rPr>
          <w:rStyle w:val="34"/>
        </w:rPr>
        <w:t xml:space="preserve"> </w:t>
      </w:r>
      <w:r>
        <w:rPr>
          <w:rStyle w:val="34"/>
          <w:rFonts w:hint="eastAsia"/>
        </w:rPr>
        <w:t>规划保障</w:t>
      </w:r>
      <w:r>
        <w:tab/>
      </w:r>
      <w:r>
        <w:fldChar w:fldCharType="begin"/>
      </w:r>
      <w:r>
        <w:instrText xml:space="preserve"> PAGEREF _Toc55386023 \h </w:instrText>
      </w:r>
      <w:r>
        <w:fldChar w:fldCharType="separate"/>
      </w:r>
      <w:r>
        <w:t>26</w:t>
      </w:r>
      <w:r>
        <w:fldChar w:fldCharType="end"/>
      </w:r>
      <w:r>
        <w:fldChar w:fldCharType="end"/>
      </w:r>
    </w:p>
    <w:p>
      <w:pPr>
        <w:pStyle w:val="26"/>
        <w:tabs>
          <w:tab w:val="right" w:leader="dot" w:pos="9322"/>
        </w:tabs>
        <w:rPr>
          <w:kern w:val="2"/>
          <w:sz w:val="21"/>
        </w:rPr>
      </w:pPr>
      <w:r>
        <w:fldChar w:fldCharType="begin"/>
      </w:r>
      <w:r>
        <w:instrText xml:space="preserve"> HYPERLINK \l "_Toc55386024" </w:instrText>
      </w:r>
      <w:r>
        <w:fldChar w:fldCharType="separate"/>
      </w:r>
      <w:r>
        <w:rPr>
          <w:rStyle w:val="34"/>
          <w:rFonts w:hint="eastAsia"/>
        </w:rPr>
        <w:t>第六条</w:t>
      </w:r>
      <w:r>
        <w:rPr>
          <w:rStyle w:val="34"/>
        </w:rPr>
        <w:t xml:space="preserve"> </w:t>
      </w:r>
      <w:r>
        <w:rPr>
          <w:rStyle w:val="34"/>
          <w:rFonts w:hint="eastAsia"/>
        </w:rPr>
        <w:t>法规及科普宣传</w:t>
      </w:r>
      <w:r>
        <w:tab/>
      </w:r>
      <w:r>
        <w:fldChar w:fldCharType="begin"/>
      </w:r>
      <w:r>
        <w:instrText xml:space="preserve"> PAGEREF _Toc55386024 \h </w:instrText>
      </w:r>
      <w:r>
        <w:fldChar w:fldCharType="separate"/>
      </w:r>
      <w:r>
        <w:t>27</w:t>
      </w:r>
      <w:r>
        <w:fldChar w:fldCharType="end"/>
      </w:r>
      <w:r>
        <w:fldChar w:fldCharType="end"/>
      </w:r>
    </w:p>
    <w:p>
      <w:pPr>
        <w:pStyle w:val="26"/>
        <w:tabs>
          <w:tab w:val="right" w:leader="dot" w:pos="9322"/>
        </w:tabs>
        <w:rPr>
          <w:kern w:val="2"/>
          <w:sz w:val="21"/>
        </w:rPr>
      </w:pPr>
      <w:r>
        <w:fldChar w:fldCharType="begin"/>
      </w:r>
      <w:r>
        <w:instrText xml:space="preserve"> HYPERLINK \l "_Toc55386025" </w:instrText>
      </w:r>
      <w:r>
        <w:fldChar w:fldCharType="separate"/>
      </w:r>
      <w:r>
        <w:rPr>
          <w:rStyle w:val="34"/>
          <w:rFonts w:hint="eastAsia"/>
        </w:rPr>
        <w:t>第七条</w:t>
      </w:r>
      <w:r>
        <w:rPr>
          <w:rStyle w:val="34"/>
        </w:rPr>
        <w:t xml:space="preserve"> </w:t>
      </w:r>
      <w:r>
        <w:rPr>
          <w:rStyle w:val="34"/>
          <w:rFonts w:hint="eastAsia"/>
        </w:rPr>
        <w:t>部门分工</w:t>
      </w:r>
      <w:r>
        <w:tab/>
      </w:r>
      <w:r>
        <w:fldChar w:fldCharType="begin"/>
      </w:r>
      <w:r>
        <w:instrText xml:space="preserve"> PAGEREF _Toc55386025 \h </w:instrText>
      </w:r>
      <w:r>
        <w:fldChar w:fldCharType="separate"/>
      </w:r>
      <w:r>
        <w:t>27</w:t>
      </w:r>
      <w:r>
        <w:fldChar w:fldCharType="end"/>
      </w:r>
      <w:r>
        <w:fldChar w:fldCharType="end"/>
      </w:r>
    </w:p>
    <w:p>
      <w:pPr>
        <w:pStyle w:val="23"/>
        <w:rPr>
          <w:kern w:val="2"/>
          <w:sz w:val="21"/>
        </w:rPr>
      </w:pPr>
      <w:r>
        <w:fldChar w:fldCharType="begin"/>
      </w:r>
      <w:r>
        <w:instrText xml:space="preserve"> HYPERLINK \l "_Toc55386026" </w:instrText>
      </w:r>
      <w:r>
        <w:fldChar w:fldCharType="separate"/>
      </w:r>
      <w:r>
        <w:rPr>
          <w:rStyle w:val="34"/>
          <w:rFonts w:hint="eastAsia" w:ascii="黑体" w:hAnsi="黑体" w:eastAsia="黑体"/>
        </w:rPr>
        <w:t>第六章</w:t>
      </w:r>
      <w:r>
        <w:rPr>
          <w:rStyle w:val="34"/>
          <w:rFonts w:ascii="黑体" w:hAnsi="黑体" w:eastAsia="黑体"/>
        </w:rPr>
        <w:t xml:space="preserve">  </w:t>
      </w:r>
      <w:r>
        <w:rPr>
          <w:rStyle w:val="34"/>
          <w:rFonts w:hint="eastAsia" w:ascii="黑体" w:hAnsi="黑体" w:eastAsia="黑体"/>
        </w:rPr>
        <w:t>环境保护</w:t>
      </w:r>
      <w:r>
        <w:tab/>
      </w:r>
      <w:r>
        <w:fldChar w:fldCharType="begin"/>
      </w:r>
      <w:r>
        <w:instrText xml:space="preserve"> PAGEREF _Toc55386026 \h </w:instrText>
      </w:r>
      <w:r>
        <w:fldChar w:fldCharType="separate"/>
      </w:r>
      <w:r>
        <w:t>28</w:t>
      </w:r>
      <w:r>
        <w:fldChar w:fldCharType="end"/>
      </w:r>
      <w:r>
        <w:fldChar w:fldCharType="end"/>
      </w:r>
    </w:p>
    <w:p>
      <w:pPr>
        <w:pStyle w:val="26"/>
        <w:tabs>
          <w:tab w:val="right" w:leader="dot" w:pos="9322"/>
        </w:tabs>
        <w:rPr>
          <w:kern w:val="2"/>
          <w:sz w:val="21"/>
        </w:rPr>
      </w:pPr>
      <w:r>
        <w:fldChar w:fldCharType="begin"/>
      </w:r>
      <w:r>
        <w:instrText xml:space="preserve"> HYPERLINK \l "_Toc55386027" </w:instrText>
      </w:r>
      <w:r>
        <w:fldChar w:fldCharType="separate"/>
      </w:r>
      <w:r>
        <w:rPr>
          <w:rStyle w:val="34"/>
          <w:rFonts w:hint="eastAsia"/>
        </w:rPr>
        <w:t>第一条</w:t>
      </w:r>
      <w:r>
        <w:rPr>
          <w:rStyle w:val="34"/>
        </w:rPr>
        <w:t xml:space="preserve"> </w:t>
      </w:r>
      <w:r>
        <w:rPr>
          <w:rStyle w:val="34"/>
          <w:rFonts w:hint="eastAsia"/>
        </w:rPr>
        <w:t>电磁辐射控制</w:t>
      </w:r>
      <w:r>
        <w:tab/>
      </w:r>
      <w:r>
        <w:fldChar w:fldCharType="begin"/>
      </w:r>
      <w:r>
        <w:instrText xml:space="preserve"> PAGEREF _Toc55386027 \h </w:instrText>
      </w:r>
      <w:r>
        <w:fldChar w:fldCharType="separate"/>
      </w:r>
      <w:r>
        <w:t>28</w:t>
      </w:r>
      <w:r>
        <w:fldChar w:fldCharType="end"/>
      </w:r>
      <w:r>
        <w:fldChar w:fldCharType="end"/>
      </w:r>
    </w:p>
    <w:p>
      <w:pPr>
        <w:pStyle w:val="26"/>
        <w:tabs>
          <w:tab w:val="right" w:leader="dot" w:pos="9322"/>
        </w:tabs>
        <w:rPr>
          <w:kern w:val="2"/>
          <w:sz w:val="21"/>
        </w:rPr>
      </w:pPr>
      <w:r>
        <w:fldChar w:fldCharType="begin"/>
      </w:r>
      <w:r>
        <w:instrText xml:space="preserve"> HYPERLINK \l "_Toc55386028" </w:instrText>
      </w:r>
      <w:r>
        <w:fldChar w:fldCharType="separate"/>
      </w:r>
      <w:r>
        <w:rPr>
          <w:rStyle w:val="34"/>
          <w:rFonts w:hint="eastAsia"/>
        </w:rPr>
        <w:t>第二条</w:t>
      </w:r>
      <w:r>
        <w:rPr>
          <w:rStyle w:val="34"/>
        </w:rPr>
        <w:t xml:space="preserve"> </w:t>
      </w:r>
      <w:r>
        <w:rPr>
          <w:rStyle w:val="34"/>
          <w:rFonts w:hint="eastAsia"/>
        </w:rPr>
        <w:t>生态保护控制</w:t>
      </w:r>
      <w:r>
        <w:tab/>
      </w:r>
      <w:r>
        <w:fldChar w:fldCharType="begin"/>
      </w:r>
      <w:r>
        <w:instrText xml:space="preserve"> PAGEREF _Toc55386028 \h </w:instrText>
      </w:r>
      <w:r>
        <w:fldChar w:fldCharType="separate"/>
      </w:r>
      <w:r>
        <w:t>28</w:t>
      </w:r>
      <w:r>
        <w:fldChar w:fldCharType="end"/>
      </w:r>
      <w:r>
        <w:fldChar w:fldCharType="end"/>
      </w:r>
    </w:p>
    <w:p>
      <w:pPr>
        <w:pStyle w:val="26"/>
        <w:tabs>
          <w:tab w:val="right" w:leader="dot" w:pos="9322"/>
        </w:tabs>
        <w:rPr>
          <w:kern w:val="2"/>
          <w:sz w:val="21"/>
        </w:rPr>
      </w:pPr>
      <w:r>
        <w:fldChar w:fldCharType="begin"/>
      </w:r>
      <w:r>
        <w:instrText xml:space="preserve"> HYPERLINK \l "_Toc55386029" </w:instrText>
      </w:r>
      <w:r>
        <w:fldChar w:fldCharType="separate"/>
      </w:r>
      <w:r>
        <w:rPr>
          <w:rStyle w:val="34"/>
          <w:rFonts w:hint="eastAsia"/>
        </w:rPr>
        <w:t>第三条</w:t>
      </w:r>
      <w:r>
        <w:rPr>
          <w:rStyle w:val="34"/>
        </w:rPr>
        <w:t xml:space="preserve"> </w:t>
      </w:r>
      <w:r>
        <w:rPr>
          <w:rStyle w:val="34"/>
          <w:rFonts w:hint="eastAsia"/>
        </w:rPr>
        <w:t>噪声控制</w:t>
      </w:r>
      <w:r>
        <w:tab/>
      </w:r>
      <w:r>
        <w:fldChar w:fldCharType="begin"/>
      </w:r>
      <w:r>
        <w:instrText xml:space="preserve"> PAGEREF _Toc55386029 \h </w:instrText>
      </w:r>
      <w:r>
        <w:fldChar w:fldCharType="separate"/>
      </w:r>
      <w:r>
        <w:t>28</w:t>
      </w:r>
      <w:r>
        <w:fldChar w:fldCharType="end"/>
      </w:r>
      <w:r>
        <w:fldChar w:fldCharType="end"/>
      </w:r>
    </w:p>
    <w:p>
      <w:pPr>
        <w:pStyle w:val="23"/>
        <w:rPr>
          <w:kern w:val="2"/>
          <w:sz w:val="21"/>
        </w:rPr>
      </w:pPr>
      <w:r>
        <w:fldChar w:fldCharType="begin"/>
      </w:r>
      <w:r>
        <w:instrText xml:space="preserve"> HYPERLINK \l "_Toc55386030" </w:instrText>
      </w:r>
      <w:r>
        <w:fldChar w:fldCharType="separate"/>
      </w:r>
      <w:r>
        <w:rPr>
          <w:rStyle w:val="34"/>
          <w:rFonts w:hint="eastAsia" w:ascii="黑体" w:hAnsi="黑体" w:eastAsia="黑体"/>
        </w:rPr>
        <w:t>第七章</w:t>
      </w:r>
      <w:r>
        <w:rPr>
          <w:rStyle w:val="34"/>
          <w:rFonts w:ascii="黑体" w:hAnsi="黑体" w:eastAsia="黑体"/>
        </w:rPr>
        <w:t xml:space="preserve">  5G</w:t>
      </w:r>
      <w:r>
        <w:rPr>
          <w:rStyle w:val="34"/>
          <w:rFonts w:hint="eastAsia" w:ascii="黑体" w:hAnsi="黑体" w:eastAsia="黑体"/>
        </w:rPr>
        <w:t>安全分析</w:t>
      </w:r>
      <w:r>
        <w:tab/>
      </w:r>
      <w:r>
        <w:fldChar w:fldCharType="begin"/>
      </w:r>
      <w:r>
        <w:instrText xml:space="preserve"> PAGEREF _Toc55386030 \h </w:instrText>
      </w:r>
      <w:r>
        <w:fldChar w:fldCharType="separate"/>
      </w:r>
      <w:r>
        <w:t>29</w:t>
      </w:r>
      <w:r>
        <w:fldChar w:fldCharType="end"/>
      </w:r>
      <w:r>
        <w:fldChar w:fldCharType="end"/>
      </w:r>
    </w:p>
    <w:p>
      <w:pPr>
        <w:pStyle w:val="26"/>
        <w:tabs>
          <w:tab w:val="right" w:leader="dot" w:pos="9322"/>
        </w:tabs>
        <w:rPr>
          <w:kern w:val="2"/>
          <w:sz w:val="21"/>
        </w:rPr>
      </w:pPr>
      <w:r>
        <w:fldChar w:fldCharType="begin"/>
      </w:r>
      <w:r>
        <w:instrText xml:space="preserve"> HYPERLINK \l "_Toc55386031" </w:instrText>
      </w:r>
      <w:r>
        <w:fldChar w:fldCharType="separate"/>
      </w:r>
      <w:r>
        <w:rPr>
          <w:rStyle w:val="34"/>
          <w:rFonts w:hint="eastAsia"/>
        </w:rPr>
        <w:t>第一条</w:t>
      </w:r>
      <w:r>
        <w:rPr>
          <w:rStyle w:val="34"/>
        </w:rPr>
        <w:t xml:space="preserve"> 5G </w:t>
      </w:r>
      <w:r>
        <w:rPr>
          <w:rStyle w:val="34"/>
          <w:rFonts w:hint="eastAsia"/>
        </w:rPr>
        <w:t>关键技术安全分析</w:t>
      </w:r>
      <w:r>
        <w:tab/>
      </w:r>
      <w:r>
        <w:fldChar w:fldCharType="begin"/>
      </w:r>
      <w:r>
        <w:instrText xml:space="preserve"> PAGEREF _Toc55386031 \h </w:instrText>
      </w:r>
      <w:r>
        <w:fldChar w:fldCharType="separate"/>
      </w:r>
      <w:r>
        <w:t>29</w:t>
      </w:r>
      <w:r>
        <w:fldChar w:fldCharType="end"/>
      </w:r>
      <w:r>
        <w:fldChar w:fldCharType="end"/>
      </w:r>
    </w:p>
    <w:p>
      <w:pPr>
        <w:pStyle w:val="26"/>
        <w:tabs>
          <w:tab w:val="right" w:leader="dot" w:pos="9322"/>
        </w:tabs>
        <w:rPr>
          <w:kern w:val="2"/>
          <w:sz w:val="21"/>
        </w:rPr>
      </w:pPr>
      <w:r>
        <w:fldChar w:fldCharType="begin"/>
      </w:r>
      <w:r>
        <w:instrText xml:space="preserve"> HYPERLINK \l "_Toc55386032" </w:instrText>
      </w:r>
      <w:r>
        <w:fldChar w:fldCharType="separate"/>
      </w:r>
      <w:r>
        <w:rPr>
          <w:rStyle w:val="34"/>
          <w:rFonts w:hint="eastAsia"/>
        </w:rPr>
        <w:t>第二条</w:t>
      </w:r>
      <w:r>
        <w:rPr>
          <w:rStyle w:val="34"/>
        </w:rPr>
        <w:t xml:space="preserve"> 5G </w:t>
      </w:r>
      <w:r>
        <w:rPr>
          <w:rStyle w:val="34"/>
          <w:rFonts w:hint="eastAsia"/>
        </w:rPr>
        <w:t>典型场景安全分析</w:t>
      </w:r>
      <w:r>
        <w:tab/>
      </w:r>
      <w:r>
        <w:fldChar w:fldCharType="begin"/>
      </w:r>
      <w:r>
        <w:instrText xml:space="preserve"> PAGEREF _Toc55386032 \h </w:instrText>
      </w:r>
      <w:r>
        <w:fldChar w:fldCharType="separate"/>
      </w:r>
      <w:r>
        <w:t>30</w:t>
      </w:r>
      <w:r>
        <w:fldChar w:fldCharType="end"/>
      </w:r>
      <w:r>
        <w:fldChar w:fldCharType="end"/>
      </w:r>
    </w:p>
    <w:p>
      <w:pPr>
        <w:pStyle w:val="23"/>
        <w:rPr>
          <w:kern w:val="2"/>
          <w:sz w:val="21"/>
        </w:rPr>
      </w:pPr>
      <w:r>
        <w:fldChar w:fldCharType="begin"/>
      </w:r>
      <w:r>
        <w:instrText xml:space="preserve"> HYPERLINK \l "_Toc55386033" </w:instrText>
      </w:r>
      <w:r>
        <w:fldChar w:fldCharType="separate"/>
      </w:r>
      <w:r>
        <w:rPr>
          <w:rStyle w:val="34"/>
          <w:rFonts w:hint="eastAsia" w:ascii="黑体" w:hAnsi="黑体" w:eastAsia="黑体"/>
        </w:rPr>
        <w:t>第八章</w:t>
      </w:r>
      <w:r>
        <w:rPr>
          <w:rStyle w:val="34"/>
          <w:rFonts w:ascii="黑体" w:hAnsi="黑体" w:eastAsia="黑体"/>
        </w:rPr>
        <w:t xml:space="preserve">  5G</w:t>
      </w:r>
      <w:r>
        <w:rPr>
          <w:rStyle w:val="34"/>
          <w:rFonts w:hint="eastAsia" w:ascii="黑体" w:hAnsi="黑体" w:eastAsia="黑体"/>
        </w:rPr>
        <w:t>设备能耗</w:t>
      </w:r>
      <w:r>
        <w:tab/>
      </w:r>
      <w:r>
        <w:fldChar w:fldCharType="begin"/>
      </w:r>
      <w:r>
        <w:instrText xml:space="preserve"> PAGEREF _Toc55386033 \h </w:instrText>
      </w:r>
      <w:r>
        <w:fldChar w:fldCharType="separate"/>
      </w:r>
      <w:r>
        <w:t>32</w:t>
      </w:r>
      <w:r>
        <w:fldChar w:fldCharType="end"/>
      </w:r>
      <w:r>
        <w:fldChar w:fldCharType="end"/>
      </w:r>
    </w:p>
    <w:p>
      <w:pPr>
        <w:pStyle w:val="23"/>
        <w:rPr>
          <w:kern w:val="2"/>
          <w:sz w:val="21"/>
        </w:rPr>
      </w:pPr>
      <w:r>
        <w:fldChar w:fldCharType="begin"/>
      </w:r>
      <w:r>
        <w:instrText xml:space="preserve"> HYPERLINK \l "_Toc55386034" </w:instrText>
      </w:r>
      <w:r>
        <w:fldChar w:fldCharType="separate"/>
      </w:r>
      <w:r>
        <w:rPr>
          <w:rStyle w:val="34"/>
          <w:rFonts w:hint="eastAsia" w:ascii="黑体" w:hAnsi="黑体" w:eastAsia="黑体"/>
        </w:rPr>
        <w:t>第九章</w:t>
      </w:r>
      <w:r>
        <w:rPr>
          <w:rStyle w:val="34"/>
          <w:rFonts w:ascii="黑体" w:hAnsi="黑体" w:eastAsia="黑体"/>
        </w:rPr>
        <w:t xml:space="preserve">  5G</w:t>
      </w:r>
      <w:r>
        <w:rPr>
          <w:rStyle w:val="34"/>
          <w:rFonts w:hint="eastAsia" w:ascii="黑体" w:hAnsi="黑体" w:eastAsia="黑体"/>
        </w:rPr>
        <w:t>基站与干扰协调</w:t>
      </w:r>
      <w:r>
        <w:tab/>
      </w:r>
      <w:r>
        <w:fldChar w:fldCharType="begin"/>
      </w:r>
      <w:r>
        <w:instrText xml:space="preserve"> PAGEREF _Toc55386034 \h </w:instrText>
      </w:r>
      <w:r>
        <w:fldChar w:fldCharType="separate"/>
      </w:r>
      <w:r>
        <w:t>33</w:t>
      </w:r>
      <w:r>
        <w:fldChar w:fldCharType="end"/>
      </w:r>
      <w:r>
        <w:fldChar w:fldCharType="end"/>
      </w:r>
    </w:p>
    <w:p>
      <w:pPr>
        <w:pStyle w:val="26"/>
        <w:tabs>
          <w:tab w:val="right" w:leader="dot" w:pos="9322"/>
        </w:tabs>
        <w:rPr>
          <w:kern w:val="2"/>
          <w:sz w:val="21"/>
        </w:rPr>
      </w:pPr>
      <w:r>
        <w:fldChar w:fldCharType="begin"/>
      </w:r>
      <w:r>
        <w:instrText xml:space="preserve"> HYPERLINK \l "_Toc55386035" </w:instrText>
      </w:r>
      <w:r>
        <w:fldChar w:fldCharType="separate"/>
      </w:r>
      <w:r>
        <w:rPr>
          <w:rStyle w:val="34"/>
          <w:rFonts w:hint="eastAsia"/>
        </w:rPr>
        <w:t>第一条</w:t>
      </w:r>
      <w:r>
        <w:rPr>
          <w:rStyle w:val="34"/>
        </w:rPr>
        <w:t xml:space="preserve"> 5G</w:t>
      </w:r>
      <w:r>
        <w:rPr>
          <w:rStyle w:val="34"/>
          <w:rFonts w:hint="eastAsia"/>
        </w:rPr>
        <w:t>基站与卫星地球站干扰</w:t>
      </w:r>
      <w:r>
        <w:tab/>
      </w:r>
      <w:r>
        <w:fldChar w:fldCharType="begin"/>
      </w:r>
      <w:r>
        <w:instrText xml:space="preserve"> PAGEREF _Toc55386035 \h </w:instrText>
      </w:r>
      <w:r>
        <w:fldChar w:fldCharType="separate"/>
      </w:r>
      <w:r>
        <w:t>33</w:t>
      </w:r>
      <w:r>
        <w:fldChar w:fldCharType="end"/>
      </w:r>
      <w:r>
        <w:fldChar w:fldCharType="end"/>
      </w:r>
    </w:p>
    <w:p>
      <w:pPr>
        <w:pStyle w:val="26"/>
        <w:tabs>
          <w:tab w:val="right" w:leader="dot" w:pos="9322"/>
        </w:tabs>
        <w:rPr>
          <w:kern w:val="2"/>
          <w:sz w:val="21"/>
        </w:rPr>
      </w:pPr>
      <w:r>
        <w:fldChar w:fldCharType="begin"/>
      </w:r>
      <w:r>
        <w:instrText xml:space="preserve"> HYPERLINK \l "_Toc55386036" </w:instrText>
      </w:r>
      <w:r>
        <w:fldChar w:fldCharType="separate"/>
      </w:r>
      <w:r>
        <w:rPr>
          <w:rStyle w:val="34"/>
          <w:rFonts w:hint="eastAsia"/>
        </w:rPr>
        <w:t>第二条</w:t>
      </w:r>
      <w:r>
        <w:rPr>
          <w:rStyle w:val="34"/>
        </w:rPr>
        <w:t xml:space="preserve"> 5G</w:t>
      </w:r>
      <w:r>
        <w:rPr>
          <w:rStyle w:val="34"/>
          <w:rFonts w:hint="eastAsia"/>
        </w:rPr>
        <w:t>基站与固定业务台（站）干扰</w:t>
      </w:r>
      <w:r>
        <w:tab/>
      </w:r>
      <w:r>
        <w:fldChar w:fldCharType="begin"/>
      </w:r>
      <w:r>
        <w:instrText xml:space="preserve"> PAGEREF _Toc55386036 \h </w:instrText>
      </w:r>
      <w:r>
        <w:fldChar w:fldCharType="separate"/>
      </w:r>
      <w:r>
        <w:t>34</w:t>
      </w:r>
      <w:r>
        <w:fldChar w:fldCharType="end"/>
      </w:r>
      <w:r>
        <w:fldChar w:fldCharType="end"/>
      </w:r>
    </w:p>
    <w:p>
      <w:pPr>
        <w:pStyle w:val="26"/>
        <w:tabs>
          <w:tab w:val="right" w:leader="dot" w:pos="9322"/>
        </w:tabs>
        <w:rPr>
          <w:kern w:val="2"/>
          <w:sz w:val="21"/>
        </w:rPr>
      </w:pPr>
      <w:r>
        <w:fldChar w:fldCharType="begin"/>
      </w:r>
      <w:r>
        <w:instrText xml:space="preserve"> HYPERLINK \l "_Toc55386037" </w:instrText>
      </w:r>
      <w:r>
        <w:fldChar w:fldCharType="separate"/>
      </w:r>
      <w:r>
        <w:rPr>
          <w:rStyle w:val="34"/>
          <w:rFonts w:hint="eastAsia"/>
        </w:rPr>
        <w:t>第三条</w:t>
      </w:r>
      <w:r>
        <w:rPr>
          <w:rStyle w:val="34"/>
        </w:rPr>
        <w:t xml:space="preserve"> 5G</w:t>
      </w:r>
      <w:r>
        <w:rPr>
          <w:rStyle w:val="34"/>
          <w:rFonts w:hint="eastAsia"/>
        </w:rPr>
        <w:t>基站与射电天文台干扰</w:t>
      </w:r>
      <w:r>
        <w:tab/>
      </w:r>
      <w:r>
        <w:fldChar w:fldCharType="begin"/>
      </w:r>
      <w:r>
        <w:instrText xml:space="preserve"> PAGEREF _Toc55386037 \h </w:instrText>
      </w:r>
      <w:r>
        <w:fldChar w:fldCharType="separate"/>
      </w:r>
      <w:r>
        <w:t>35</w:t>
      </w:r>
      <w:r>
        <w:fldChar w:fldCharType="end"/>
      </w:r>
      <w:r>
        <w:fldChar w:fldCharType="end"/>
      </w:r>
    </w:p>
    <w:p>
      <w:pPr>
        <w:pStyle w:val="23"/>
        <w:rPr>
          <w:kern w:val="2"/>
          <w:sz w:val="21"/>
        </w:rPr>
      </w:pPr>
      <w:r>
        <w:fldChar w:fldCharType="begin"/>
      </w:r>
      <w:r>
        <w:instrText xml:space="preserve"> HYPERLINK \l "_Toc55386038" </w:instrText>
      </w:r>
      <w:r>
        <w:fldChar w:fldCharType="separate"/>
      </w:r>
      <w:r>
        <w:rPr>
          <w:rStyle w:val="34"/>
          <w:rFonts w:hint="eastAsia" w:ascii="黑体" w:hAnsi="黑体" w:eastAsia="黑体"/>
        </w:rPr>
        <w:t>第十章</w:t>
      </w:r>
      <w:r>
        <w:rPr>
          <w:rStyle w:val="34"/>
          <w:rFonts w:ascii="黑体" w:hAnsi="黑体" w:eastAsia="黑体"/>
        </w:rPr>
        <w:t xml:space="preserve">  </w:t>
      </w:r>
      <w:r>
        <w:rPr>
          <w:rStyle w:val="34"/>
          <w:rFonts w:hint="eastAsia" w:ascii="黑体" w:hAnsi="黑体" w:eastAsia="黑体"/>
        </w:rPr>
        <w:t>附则</w:t>
      </w:r>
      <w:r>
        <w:tab/>
      </w:r>
      <w:r>
        <w:fldChar w:fldCharType="begin"/>
      </w:r>
      <w:r>
        <w:instrText xml:space="preserve"> PAGEREF _Toc55386038 \h </w:instrText>
      </w:r>
      <w:r>
        <w:fldChar w:fldCharType="separate"/>
      </w:r>
      <w:r>
        <w:t>37</w:t>
      </w:r>
      <w:r>
        <w:fldChar w:fldCharType="end"/>
      </w:r>
      <w:r>
        <w:fldChar w:fldCharType="end"/>
      </w:r>
    </w:p>
    <w:p>
      <w:pPr>
        <w:pStyle w:val="26"/>
        <w:tabs>
          <w:tab w:val="right" w:leader="dot" w:pos="9322"/>
        </w:tabs>
        <w:rPr>
          <w:kern w:val="2"/>
          <w:sz w:val="21"/>
        </w:rPr>
      </w:pPr>
      <w:r>
        <w:fldChar w:fldCharType="begin"/>
      </w:r>
      <w:r>
        <w:instrText xml:space="preserve"> HYPERLINK \l "_Toc55386039" </w:instrText>
      </w:r>
      <w:r>
        <w:fldChar w:fldCharType="separate"/>
      </w:r>
      <w:r>
        <w:rPr>
          <w:rStyle w:val="34"/>
          <w:rFonts w:hint="eastAsia"/>
        </w:rPr>
        <w:t>第一条</w:t>
      </w:r>
      <w:r>
        <w:rPr>
          <w:rStyle w:val="34"/>
        </w:rPr>
        <w:t xml:space="preserve"> </w:t>
      </w:r>
      <w:r>
        <w:rPr>
          <w:rStyle w:val="34"/>
          <w:rFonts w:hint="eastAsia"/>
        </w:rPr>
        <w:t>规划影响因素</w:t>
      </w:r>
      <w:r>
        <w:tab/>
      </w:r>
      <w:r>
        <w:fldChar w:fldCharType="begin"/>
      </w:r>
      <w:r>
        <w:instrText xml:space="preserve"> PAGEREF _Toc55386039 \h </w:instrText>
      </w:r>
      <w:r>
        <w:fldChar w:fldCharType="separate"/>
      </w:r>
      <w:r>
        <w:t>37</w:t>
      </w:r>
      <w:r>
        <w:fldChar w:fldCharType="end"/>
      </w:r>
      <w:r>
        <w:fldChar w:fldCharType="end"/>
      </w:r>
    </w:p>
    <w:p>
      <w:pPr>
        <w:pStyle w:val="26"/>
        <w:tabs>
          <w:tab w:val="right" w:leader="dot" w:pos="9322"/>
        </w:tabs>
        <w:rPr>
          <w:kern w:val="2"/>
          <w:sz w:val="21"/>
        </w:rPr>
      </w:pPr>
      <w:r>
        <w:fldChar w:fldCharType="begin"/>
      </w:r>
      <w:r>
        <w:instrText xml:space="preserve"> HYPERLINK \l "_Toc55386040" </w:instrText>
      </w:r>
      <w:r>
        <w:fldChar w:fldCharType="separate"/>
      </w:r>
      <w:r>
        <w:rPr>
          <w:rStyle w:val="34"/>
          <w:rFonts w:hint="eastAsia"/>
        </w:rPr>
        <w:t>第二条</w:t>
      </w:r>
      <w:r>
        <w:rPr>
          <w:rStyle w:val="34"/>
        </w:rPr>
        <w:t xml:space="preserve"> </w:t>
      </w:r>
      <w:r>
        <w:rPr>
          <w:rStyle w:val="34"/>
          <w:rFonts w:hint="eastAsia"/>
        </w:rPr>
        <w:t>规划生效时间</w:t>
      </w:r>
      <w:r>
        <w:tab/>
      </w:r>
      <w:r>
        <w:fldChar w:fldCharType="begin"/>
      </w:r>
      <w:r>
        <w:instrText xml:space="preserve"> PAGEREF _Toc55386040 \h </w:instrText>
      </w:r>
      <w:r>
        <w:fldChar w:fldCharType="separate"/>
      </w:r>
      <w:r>
        <w:t>37</w:t>
      </w:r>
      <w:r>
        <w:fldChar w:fldCharType="end"/>
      </w:r>
      <w:r>
        <w:fldChar w:fldCharType="end"/>
      </w:r>
    </w:p>
    <w:p>
      <w:pPr>
        <w:pStyle w:val="23"/>
        <w:rPr>
          <w:kern w:val="2"/>
          <w:sz w:val="21"/>
        </w:rPr>
      </w:pPr>
      <w:r>
        <w:fldChar w:fldCharType="begin"/>
      </w:r>
      <w:r>
        <w:instrText xml:space="preserve"> HYPERLINK \l "_Toc55386041" </w:instrText>
      </w:r>
      <w:r>
        <w:fldChar w:fldCharType="separate"/>
      </w:r>
      <w:r>
        <w:rPr>
          <w:rStyle w:val="34"/>
          <w:rFonts w:hint="eastAsia" w:ascii="黑体" w:hAnsi="黑体" w:eastAsia="黑体"/>
        </w:rPr>
        <w:t>附表一：新建</w:t>
      </w:r>
      <w:r>
        <w:rPr>
          <w:rStyle w:val="34"/>
          <w:rFonts w:ascii="黑体" w:hAnsi="黑体" w:eastAsia="黑体"/>
        </w:rPr>
        <w:t>5G</w:t>
      </w:r>
      <w:r>
        <w:rPr>
          <w:rStyle w:val="34"/>
          <w:rFonts w:hint="eastAsia" w:ascii="黑体" w:hAnsi="黑体" w:eastAsia="黑体"/>
        </w:rPr>
        <w:t>综合接入机房一览表</w:t>
      </w:r>
      <w:r>
        <w:tab/>
      </w:r>
      <w:r>
        <w:fldChar w:fldCharType="begin"/>
      </w:r>
      <w:r>
        <w:instrText xml:space="preserve"> PAGEREF _Toc55386041 \h </w:instrText>
      </w:r>
      <w:r>
        <w:fldChar w:fldCharType="separate"/>
      </w:r>
      <w:r>
        <w:t>38</w:t>
      </w:r>
      <w:r>
        <w:fldChar w:fldCharType="end"/>
      </w:r>
      <w:r>
        <w:fldChar w:fldCharType="end"/>
      </w:r>
    </w:p>
    <w:p>
      <w:pPr>
        <w:pStyle w:val="23"/>
        <w:rPr>
          <w:kern w:val="2"/>
          <w:sz w:val="21"/>
        </w:rPr>
      </w:pPr>
      <w:r>
        <w:fldChar w:fldCharType="begin"/>
      </w:r>
      <w:r>
        <w:instrText xml:space="preserve"> HYPERLINK \l "_Toc55386042" </w:instrText>
      </w:r>
      <w:r>
        <w:fldChar w:fldCharType="separate"/>
      </w:r>
      <w:r>
        <w:rPr>
          <w:rStyle w:val="34"/>
          <w:rFonts w:hint="eastAsia" w:ascii="黑体" w:hAnsi="黑体" w:eastAsia="黑体"/>
        </w:rPr>
        <w:t>附表二：新建</w:t>
      </w:r>
      <w:r>
        <w:rPr>
          <w:rStyle w:val="34"/>
          <w:rFonts w:ascii="黑体" w:hAnsi="黑体" w:eastAsia="黑体"/>
        </w:rPr>
        <w:t>5G</w:t>
      </w:r>
      <w:r>
        <w:rPr>
          <w:rStyle w:val="34"/>
          <w:rFonts w:hint="eastAsia" w:ascii="黑体" w:hAnsi="黑体" w:eastAsia="黑体"/>
        </w:rPr>
        <w:t>室内分布及综合覆盖系统一览表</w:t>
      </w:r>
      <w:r>
        <w:tab/>
      </w:r>
      <w:r>
        <w:fldChar w:fldCharType="begin"/>
      </w:r>
      <w:r>
        <w:instrText xml:space="preserve"> PAGEREF _Toc55386042 \h </w:instrText>
      </w:r>
      <w:r>
        <w:fldChar w:fldCharType="separate"/>
      </w:r>
      <w:r>
        <w:t>40</w:t>
      </w:r>
      <w:r>
        <w:fldChar w:fldCharType="end"/>
      </w:r>
      <w:r>
        <w:fldChar w:fldCharType="end"/>
      </w:r>
    </w:p>
    <w:p>
      <w:pPr>
        <w:pStyle w:val="23"/>
        <w:rPr>
          <w:kern w:val="2"/>
          <w:sz w:val="21"/>
        </w:rPr>
      </w:pPr>
      <w:r>
        <w:fldChar w:fldCharType="begin"/>
      </w:r>
      <w:r>
        <w:instrText xml:space="preserve"> HYPERLINK \l "_Toc55386043" </w:instrText>
      </w:r>
      <w:r>
        <w:fldChar w:fldCharType="separate"/>
      </w:r>
      <w:r>
        <w:rPr>
          <w:rStyle w:val="34"/>
          <w:rFonts w:hint="eastAsia" w:ascii="黑体" w:hAnsi="黑体" w:eastAsia="黑体"/>
        </w:rPr>
        <w:t>附表三：近期</w:t>
      </w:r>
      <w:r>
        <w:rPr>
          <w:rStyle w:val="34"/>
          <w:rFonts w:ascii="黑体" w:hAnsi="黑体" w:eastAsia="黑体"/>
        </w:rPr>
        <w:t>5G</w:t>
      </w:r>
      <w:r>
        <w:rPr>
          <w:rStyle w:val="34"/>
          <w:rFonts w:hint="eastAsia" w:ascii="黑体" w:hAnsi="黑体" w:eastAsia="黑体"/>
        </w:rPr>
        <w:t>新建基站一览表</w:t>
      </w:r>
      <w:r>
        <w:tab/>
      </w:r>
      <w:r>
        <w:fldChar w:fldCharType="begin"/>
      </w:r>
      <w:r>
        <w:instrText xml:space="preserve"> PAGEREF _Toc55386043 \h </w:instrText>
      </w:r>
      <w:r>
        <w:fldChar w:fldCharType="separate"/>
      </w:r>
      <w:r>
        <w:t>44</w:t>
      </w:r>
      <w:r>
        <w:fldChar w:fldCharType="end"/>
      </w:r>
      <w:r>
        <w:fldChar w:fldCharType="end"/>
      </w:r>
    </w:p>
    <w:p>
      <w:pPr>
        <w:pStyle w:val="23"/>
        <w:rPr>
          <w:kern w:val="2"/>
          <w:sz w:val="21"/>
        </w:rPr>
      </w:pPr>
      <w:r>
        <w:fldChar w:fldCharType="begin"/>
      </w:r>
      <w:r>
        <w:instrText xml:space="preserve"> HYPERLINK \l "_Toc55386044" </w:instrText>
      </w:r>
      <w:r>
        <w:fldChar w:fldCharType="separate"/>
      </w:r>
      <w:r>
        <w:rPr>
          <w:rStyle w:val="34"/>
          <w:rFonts w:hint="eastAsia" w:ascii="黑体" w:hAnsi="黑体" w:eastAsia="黑体"/>
        </w:rPr>
        <w:t>附表四：远期</w:t>
      </w:r>
      <w:r>
        <w:rPr>
          <w:rStyle w:val="34"/>
          <w:rFonts w:ascii="黑体" w:hAnsi="黑体" w:eastAsia="黑体"/>
        </w:rPr>
        <w:t>5G</w:t>
      </w:r>
      <w:r>
        <w:rPr>
          <w:rStyle w:val="34"/>
          <w:rFonts w:hint="eastAsia" w:ascii="黑体" w:hAnsi="黑体" w:eastAsia="黑体"/>
        </w:rPr>
        <w:t>新建基站一览表</w:t>
      </w:r>
      <w:r>
        <w:tab/>
      </w:r>
      <w:r>
        <w:fldChar w:fldCharType="begin"/>
      </w:r>
      <w:r>
        <w:instrText xml:space="preserve"> PAGEREF _Toc55386044 \h </w:instrText>
      </w:r>
      <w:r>
        <w:fldChar w:fldCharType="separate"/>
      </w:r>
      <w:r>
        <w:t>70</w:t>
      </w:r>
      <w:r>
        <w:fldChar w:fldCharType="end"/>
      </w:r>
      <w:r>
        <w:fldChar w:fldCharType="end"/>
      </w:r>
    </w:p>
    <w:p>
      <w:pPr>
        <w:pStyle w:val="23"/>
        <w:rPr>
          <w:kern w:val="2"/>
          <w:sz w:val="21"/>
        </w:rPr>
      </w:pPr>
      <w:r>
        <w:fldChar w:fldCharType="begin"/>
      </w:r>
      <w:r>
        <w:instrText xml:space="preserve"> HYPERLINK \l "_Toc55386045" </w:instrText>
      </w:r>
      <w:r>
        <w:fldChar w:fldCharType="separate"/>
      </w:r>
      <w:r>
        <w:rPr>
          <w:rStyle w:val="34"/>
          <w:rFonts w:hint="eastAsia" w:ascii="黑体" w:hAnsi="黑体" w:eastAsia="黑体"/>
        </w:rPr>
        <w:t>附表五：社会储备资源一览表</w:t>
      </w:r>
      <w:r>
        <w:tab/>
      </w:r>
      <w:r>
        <w:fldChar w:fldCharType="begin"/>
      </w:r>
      <w:r>
        <w:instrText xml:space="preserve"> PAGEREF _Toc55386045 \h </w:instrText>
      </w:r>
      <w:r>
        <w:fldChar w:fldCharType="separate"/>
      </w:r>
      <w:r>
        <w:t>83</w:t>
      </w:r>
      <w:r>
        <w:fldChar w:fldCharType="end"/>
      </w:r>
      <w:r>
        <w:fldChar w:fldCharType="end"/>
      </w:r>
    </w:p>
    <w:p>
      <w:pPr>
        <w:jc w:val="both"/>
        <w:rPr>
          <w:rFonts w:ascii="Times New Roman" w:hAnsi="Times New Roman" w:cs="Times New Roman"/>
        </w:rPr>
      </w:pPr>
      <w:r>
        <w:rPr>
          <w:rFonts w:ascii="方正黑体_GBK" w:eastAsia="方正黑体_GBK"/>
          <w:b/>
          <w:sz w:val="30"/>
          <w:szCs w:val="30"/>
        </w:rPr>
        <w:fldChar w:fldCharType="end"/>
      </w:r>
    </w:p>
    <w:p>
      <w:pPr>
        <w:pStyle w:val="2"/>
      </w:pPr>
      <w:bookmarkStart w:id="12" w:name="_Toc55385995"/>
      <w:bookmarkStart w:id="13" w:name="_Toc56092688"/>
      <w:bookmarkStart w:id="14" w:name="_Toc401855646"/>
      <w:r>
        <w:rPr>
          <w:rFonts w:hint="eastAsia"/>
        </w:rPr>
        <w:t>总则</w:t>
      </w:r>
      <w:bookmarkEnd w:id="12"/>
      <w:bookmarkEnd w:id="13"/>
      <w:bookmarkEnd w:id="14"/>
    </w:p>
    <w:p>
      <w:pPr>
        <w:pStyle w:val="3"/>
      </w:pPr>
      <w:bookmarkStart w:id="15" w:name="_Toc55385996"/>
      <w:bookmarkStart w:id="16" w:name="_Toc56092689"/>
      <w:r>
        <w:rPr>
          <w:rFonts w:hint="eastAsia"/>
        </w:rPr>
        <w:t>规划范围及内容</w:t>
      </w:r>
      <w:bookmarkEnd w:id="15"/>
      <w:bookmarkEnd w:id="16"/>
    </w:p>
    <w:p>
      <w:pPr>
        <w:widowControl w:val="0"/>
        <w:spacing w:line="360" w:lineRule="auto"/>
        <w:ind w:firstLine="480" w:firstLineChars="200"/>
        <w:contextualSpacing/>
        <w:jc w:val="both"/>
        <w:rPr>
          <w:rFonts w:cs="Times New Roman"/>
          <w:kern w:val="2"/>
        </w:rPr>
      </w:pPr>
      <w:r>
        <w:rPr>
          <w:rFonts w:hint="eastAsia" w:cs="Times New Roman"/>
          <w:kern w:val="2"/>
        </w:rPr>
        <w:t>为深入贯彻、落实《重庆市以大数据智能化为引领的创新驱动发展战略行动计划（</w:t>
      </w:r>
      <w:r>
        <w:rPr>
          <w:rFonts w:cs="Times New Roman"/>
          <w:kern w:val="2"/>
        </w:rPr>
        <w:t>2018—2020</w:t>
      </w:r>
      <w:r>
        <w:rPr>
          <w:rFonts w:hint="eastAsia" w:cs="Times New Roman"/>
          <w:kern w:val="2"/>
        </w:rPr>
        <w:t>年）》、市政府办公厅《关于推进</w:t>
      </w:r>
      <w:r>
        <w:rPr>
          <w:rFonts w:cs="Times New Roman"/>
          <w:kern w:val="2"/>
        </w:rPr>
        <w:t>5G</w:t>
      </w:r>
      <w:r>
        <w:rPr>
          <w:rFonts w:hint="eastAsia" w:cs="Times New Roman"/>
          <w:kern w:val="2"/>
        </w:rPr>
        <w:t>通信网建设发展的实施意见》（渝府办发</w:t>
      </w:r>
      <w:r>
        <w:rPr>
          <w:rFonts w:cs="Times New Roman"/>
          <w:kern w:val="2"/>
        </w:rPr>
        <w:t>[2019]4</w:t>
      </w:r>
      <w:r>
        <w:rPr>
          <w:rFonts w:hint="eastAsia" w:cs="Times New Roman"/>
          <w:kern w:val="2"/>
        </w:rPr>
        <w:t>号）、《重庆市加快</w:t>
      </w:r>
      <w:r>
        <w:rPr>
          <w:rFonts w:cs="Times New Roman"/>
          <w:kern w:val="2"/>
        </w:rPr>
        <w:t>5G</w:t>
      </w:r>
      <w:r>
        <w:rPr>
          <w:rFonts w:hint="eastAsia" w:cs="Times New Roman"/>
          <w:kern w:val="2"/>
        </w:rPr>
        <w:t>发展行动计划（</w:t>
      </w:r>
      <w:r>
        <w:rPr>
          <w:rFonts w:cs="Times New Roman"/>
          <w:kern w:val="2"/>
        </w:rPr>
        <w:t>2019-2022</w:t>
      </w:r>
      <w:r>
        <w:rPr>
          <w:rFonts w:hint="eastAsia" w:cs="Times New Roman"/>
          <w:kern w:val="2"/>
        </w:rPr>
        <w:t>年</w:t>
      </w:r>
      <w:r>
        <w:rPr>
          <w:rFonts w:cs="Times New Roman"/>
          <w:kern w:val="2"/>
        </w:rPr>
        <w:t>)</w:t>
      </w:r>
      <w:r>
        <w:rPr>
          <w:rFonts w:hint="eastAsia" w:cs="Times New Roman"/>
          <w:kern w:val="2"/>
        </w:rPr>
        <w:t>的通知》（渝府发</w:t>
      </w:r>
      <w:r>
        <w:rPr>
          <w:rFonts w:cs="Times New Roman"/>
          <w:kern w:val="2"/>
        </w:rPr>
        <w:t>[2019]34</w:t>
      </w:r>
      <w:r>
        <w:rPr>
          <w:rFonts w:hint="eastAsia" w:cs="Times New Roman"/>
          <w:kern w:val="2"/>
        </w:rPr>
        <w:t>号文件）、《重庆市人民政府办公厅关于保障</w:t>
      </w:r>
      <w:r>
        <w:rPr>
          <w:rFonts w:cs="Times New Roman"/>
          <w:kern w:val="2"/>
        </w:rPr>
        <w:t>5G</w:t>
      </w:r>
      <w:r>
        <w:rPr>
          <w:rFonts w:hint="eastAsia" w:cs="Times New Roman"/>
          <w:kern w:val="2"/>
        </w:rPr>
        <w:t>网络基础设施建设通知》（渝府办发</w:t>
      </w:r>
      <w:r>
        <w:rPr>
          <w:rFonts w:cs="Times New Roman"/>
          <w:kern w:val="2"/>
        </w:rPr>
        <w:t>[2020]47</w:t>
      </w:r>
      <w:r>
        <w:rPr>
          <w:rFonts w:hint="eastAsia" w:cs="Times New Roman"/>
          <w:kern w:val="2"/>
        </w:rPr>
        <w:t>号文件）有关要求，统筹推进梁平区移动通信网络布局建设，建成高速、移动、安全、泛在的新一代信息基础设施，抢占</w:t>
      </w:r>
      <w:r>
        <w:rPr>
          <w:rFonts w:cs="Times New Roman"/>
          <w:kern w:val="2"/>
        </w:rPr>
        <w:t>5G</w:t>
      </w:r>
      <w:r>
        <w:rPr>
          <w:rFonts w:hint="eastAsia" w:cs="Times New Roman"/>
          <w:kern w:val="2"/>
        </w:rPr>
        <w:t>发展先机，实现互联网、大数据、人工智能和实体经济深度融合，发展数字经济与共享经济，培育新增长点，形成新动能，推动梁平区经济与社会发展，特编制《重庆市梁平区</w:t>
      </w:r>
      <w:r>
        <w:rPr>
          <w:rFonts w:cs="Times New Roman"/>
          <w:kern w:val="2"/>
        </w:rPr>
        <w:t>5G</w:t>
      </w:r>
      <w:r>
        <w:rPr>
          <w:rFonts w:hint="eastAsia" w:cs="Times New Roman"/>
          <w:kern w:val="2"/>
        </w:rPr>
        <w:t>通信基础设施规划》（以下简称本规划）。</w:t>
      </w:r>
    </w:p>
    <w:p>
      <w:pPr>
        <w:widowControl w:val="0"/>
        <w:spacing w:line="360" w:lineRule="auto"/>
        <w:ind w:firstLine="480" w:firstLineChars="200"/>
        <w:contextualSpacing/>
        <w:jc w:val="both"/>
        <w:rPr>
          <w:rFonts w:cs="Times New Roman"/>
          <w:kern w:val="2"/>
        </w:rPr>
      </w:pPr>
      <w:r>
        <w:rPr>
          <w:rFonts w:hint="eastAsia" w:cs="Times New Roman"/>
          <w:kern w:val="2"/>
        </w:rPr>
        <w:t>规划范围：梁平梁山街道老城区、梁平双桂街道新城区及梁平乡镇场镇，包括梁山街道、双桂街道、仁贤街道、合兴街道、金带街道等</w:t>
      </w:r>
      <w:r>
        <w:rPr>
          <w:rFonts w:cs="Times New Roman"/>
          <w:kern w:val="2"/>
        </w:rPr>
        <w:t>5</w:t>
      </w:r>
      <w:r>
        <w:rPr>
          <w:rFonts w:hint="eastAsia" w:cs="Times New Roman"/>
          <w:kern w:val="2"/>
        </w:rPr>
        <w:t>个街道，礼让镇、云龙镇、屏锦镇、袁驿镇、新盛镇、福禄镇、聚奎镇、明达镇、荫平镇、和林镇、回龙镇、碧山镇、虎城镇、七星镇、龙门镇、文化镇、石安镇、柏家镇、大观镇、竹山镇、蟠龙镇、安胜镇、星桥镇、曲水镇、复平镇、紫照镇等</w:t>
      </w:r>
      <w:r>
        <w:rPr>
          <w:rFonts w:cs="Times New Roman"/>
          <w:kern w:val="2"/>
        </w:rPr>
        <w:t>26</w:t>
      </w:r>
      <w:r>
        <w:rPr>
          <w:rFonts w:hint="eastAsia" w:cs="Times New Roman"/>
          <w:kern w:val="2"/>
        </w:rPr>
        <w:t>个镇，铁门乡、龙胜乡等</w:t>
      </w:r>
      <w:r>
        <w:rPr>
          <w:rFonts w:cs="Times New Roman"/>
          <w:kern w:val="2"/>
        </w:rPr>
        <w:t>2</w:t>
      </w:r>
      <w:r>
        <w:rPr>
          <w:rFonts w:hint="eastAsia" w:cs="Times New Roman"/>
          <w:kern w:val="2"/>
        </w:rPr>
        <w:t>个乡。</w:t>
      </w:r>
    </w:p>
    <w:p>
      <w:pPr>
        <w:widowControl w:val="0"/>
        <w:spacing w:line="360" w:lineRule="auto"/>
        <w:ind w:firstLine="480" w:firstLineChars="200"/>
        <w:contextualSpacing/>
        <w:jc w:val="both"/>
        <w:rPr>
          <w:rFonts w:cs="Times New Roman"/>
          <w:kern w:val="2"/>
        </w:rPr>
      </w:pPr>
      <w:r>
        <w:rPr>
          <w:rFonts w:hint="eastAsia" w:cs="Times New Roman"/>
          <w:kern w:val="2"/>
        </w:rPr>
        <w:t>规划深度：本规划遵循“统筹规划、合理布局、适度超前、优化配置、资源共享”等原则，结合各通信单位在规划区域内的综合需求，完成规划区域内的</w:t>
      </w:r>
      <w:r>
        <w:rPr>
          <w:rFonts w:cs="Times New Roman"/>
          <w:kern w:val="2"/>
        </w:rPr>
        <w:t>5G</w:t>
      </w:r>
      <w:r>
        <w:rPr>
          <w:rFonts w:hint="eastAsia" w:cs="Times New Roman"/>
          <w:kern w:val="2"/>
        </w:rPr>
        <w:t>通信基础设施（包括通信综合接入机房、通信基站）建设布局规划，包括对梁平区已建成区域内通信基站、综合接入机房等规划；对梁平区新开发区域、工业园区的基站按各基础电信企业未来</w:t>
      </w:r>
      <w:r>
        <w:rPr>
          <w:rFonts w:cs="Times New Roman"/>
          <w:kern w:val="2"/>
        </w:rPr>
        <w:t>5</w:t>
      </w:r>
      <w:r>
        <w:rPr>
          <w:rFonts w:hint="eastAsia" w:cs="Times New Roman"/>
          <w:kern w:val="2"/>
        </w:rPr>
        <w:t>年需求进行规划，并规划相应通信接入机房等配套资源；对旅游景区（包括但不限于双桂堂、百里竹海、滑石古寨等）、乡镇场镇范围内的基站、通信接入机房同步规划。</w:t>
      </w:r>
    </w:p>
    <w:p>
      <w:pPr>
        <w:widowControl w:val="0"/>
        <w:spacing w:line="360" w:lineRule="auto"/>
        <w:ind w:firstLine="480" w:firstLineChars="200"/>
        <w:contextualSpacing/>
        <w:jc w:val="both"/>
        <w:rPr>
          <w:rFonts w:cs="Times New Roman"/>
          <w:kern w:val="2"/>
        </w:rPr>
      </w:pPr>
      <w:r>
        <w:rPr>
          <w:rFonts w:hint="eastAsia" w:cs="Times New Roman"/>
          <w:kern w:val="2"/>
        </w:rPr>
        <w:t>本规划对象分为以下两个部分：</w:t>
      </w:r>
    </w:p>
    <w:p>
      <w:pPr>
        <w:widowControl w:val="0"/>
        <w:spacing w:line="360" w:lineRule="auto"/>
        <w:ind w:firstLine="480" w:firstLineChars="200"/>
        <w:contextualSpacing/>
        <w:jc w:val="both"/>
        <w:rPr>
          <w:rFonts w:cs="Times New Roman"/>
          <w:kern w:val="2"/>
        </w:rPr>
      </w:pPr>
      <w:r>
        <w:rPr>
          <w:rFonts w:hint="eastAsia" w:cs="Times New Roman"/>
          <w:kern w:val="2"/>
        </w:rPr>
        <w:t>（</w:t>
      </w:r>
      <w:r>
        <w:rPr>
          <w:rFonts w:cs="Times New Roman"/>
          <w:kern w:val="2"/>
        </w:rPr>
        <w:t>1</w:t>
      </w:r>
      <w:r>
        <w:rPr>
          <w:rFonts w:hint="eastAsia" w:cs="Times New Roman"/>
          <w:kern w:val="2"/>
        </w:rPr>
        <w:t>）</w:t>
      </w:r>
      <w:r>
        <w:rPr>
          <w:rFonts w:cs="Times New Roman"/>
          <w:kern w:val="2"/>
        </w:rPr>
        <w:t>5G</w:t>
      </w:r>
      <w:r>
        <w:rPr>
          <w:rFonts w:hint="eastAsia" w:cs="Times New Roman"/>
          <w:kern w:val="2"/>
        </w:rPr>
        <w:t>通信综合接入机房。不涉及核心机房及汇聚机房。</w:t>
      </w:r>
    </w:p>
    <w:p>
      <w:pPr>
        <w:widowControl w:val="0"/>
        <w:spacing w:line="360" w:lineRule="auto"/>
        <w:ind w:firstLine="480" w:firstLineChars="200"/>
        <w:contextualSpacing/>
        <w:jc w:val="both"/>
        <w:rPr>
          <w:rFonts w:cs="Times New Roman"/>
          <w:kern w:val="2"/>
        </w:rPr>
      </w:pPr>
      <w:r>
        <w:rPr>
          <w:rFonts w:hint="eastAsia" w:cs="Times New Roman"/>
          <w:kern w:val="2"/>
        </w:rPr>
        <w:t>（</w:t>
      </w:r>
      <w:r>
        <w:rPr>
          <w:rFonts w:cs="Times New Roman"/>
          <w:kern w:val="2"/>
        </w:rPr>
        <w:t>2</w:t>
      </w:r>
      <w:r>
        <w:rPr>
          <w:rFonts w:hint="eastAsia" w:cs="Times New Roman"/>
          <w:kern w:val="2"/>
        </w:rPr>
        <w:t>）</w:t>
      </w:r>
      <w:r>
        <w:rPr>
          <w:rFonts w:cs="Times New Roman"/>
          <w:kern w:val="2"/>
        </w:rPr>
        <w:t>5G</w:t>
      </w:r>
      <w:r>
        <w:rPr>
          <w:rFonts w:hint="eastAsia" w:cs="Times New Roman"/>
          <w:kern w:val="2"/>
        </w:rPr>
        <w:t>通信基站。包括室外宏站及室内分布综合覆盖系统。规划站址同时满足</w:t>
      </w:r>
      <w:r>
        <w:rPr>
          <w:rFonts w:cs="Times New Roman"/>
          <w:kern w:val="2"/>
        </w:rPr>
        <w:t>2G</w:t>
      </w:r>
      <w:r>
        <w:rPr>
          <w:rFonts w:hint="eastAsia" w:cs="Times New Roman"/>
          <w:kern w:val="2"/>
        </w:rPr>
        <w:t>、</w:t>
      </w:r>
      <w:r>
        <w:rPr>
          <w:rFonts w:cs="Times New Roman"/>
          <w:kern w:val="2"/>
        </w:rPr>
        <w:t>3G</w:t>
      </w:r>
      <w:r>
        <w:rPr>
          <w:rFonts w:hint="eastAsia" w:cs="Times New Roman"/>
          <w:kern w:val="2"/>
        </w:rPr>
        <w:t>、</w:t>
      </w:r>
      <w:r>
        <w:rPr>
          <w:rFonts w:cs="Times New Roman"/>
          <w:kern w:val="2"/>
        </w:rPr>
        <w:t>4G</w:t>
      </w:r>
      <w:r>
        <w:rPr>
          <w:rFonts w:hint="eastAsia" w:cs="Times New Roman"/>
          <w:kern w:val="2"/>
        </w:rPr>
        <w:t>及</w:t>
      </w:r>
      <w:r>
        <w:rPr>
          <w:rFonts w:cs="Times New Roman"/>
          <w:kern w:val="2"/>
        </w:rPr>
        <w:t>5G</w:t>
      </w:r>
      <w:r>
        <w:rPr>
          <w:rFonts w:hint="eastAsia" w:cs="Times New Roman"/>
          <w:kern w:val="2"/>
        </w:rPr>
        <w:t>建设需求。</w:t>
      </w:r>
    </w:p>
    <w:p>
      <w:pPr>
        <w:widowControl w:val="0"/>
        <w:spacing w:line="360" w:lineRule="auto"/>
        <w:ind w:firstLine="480" w:firstLineChars="200"/>
        <w:contextualSpacing/>
        <w:jc w:val="both"/>
        <w:rPr>
          <w:rFonts w:cs="Times New Roman"/>
          <w:kern w:val="2"/>
        </w:rPr>
      </w:pPr>
      <w:r>
        <w:rPr>
          <w:rFonts w:hint="eastAsia" w:cs="Times New Roman"/>
          <w:kern w:val="2"/>
        </w:rPr>
        <w:t>本次规划年限取定为</w:t>
      </w:r>
      <w:r>
        <w:rPr>
          <w:rFonts w:cs="Times New Roman"/>
          <w:kern w:val="2"/>
        </w:rPr>
        <w:t>2020-2025</w:t>
      </w:r>
      <w:r>
        <w:rPr>
          <w:rFonts w:hint="eastAsia" w:cs="Times New Roman"/>
          <w:kern w:val="2"/>
        </w:rPr>
        <w:t>年。其中，一期满足</w:t>
      </w:r>
      <w:r>
        <w:rPr>
          <w:rFonts w:cs="Times New Roman"/>
          <w:kern w:val="2"/>
        </w:rPr>
        <w:t>2020-2022</w:t>
      </w:r>
      <w:r>
        <w:rPr>
          <w:rFonts w:hint="eastAsia" w:cs="Times New Roman"/>
          <w:kern w:val="2"/>
        </w:rPr>
        <w:t>年通信建设需求，二期满足</w:t>
      </w:r>
      <w:r>
        <w:rPr>
          <w:rFonts w:cs="Times New Roman"/>
          <w:kern w:val="2"/>
        </w:rPr>
        <w:t>2023-2025</w:t>
      </w:r>
      <w:r>
        <w:rPr>
          <w:rFonts w:hint="eastAsia" w:cs="Times New Roman"/>
          <w:kern w:val="2"/>
        </w:rPr>
        <w:t>年通信建设需求。远期展望至</w:t>
      </w:r>
      <w:r>
        <w:rPr>
          <w:rFonts w:cs="Times New Roman"/>
          <w:kern w:val="2"/>
        </w:rPr>
        <w:t>2035</w:t>
      </w:r>
      <w:r>
        <w:rPr>
          <w:rFonts w:hint="eastAsia" w:cs="Times New Roman"/>
          <w:kern w:val="2"/>
        </w:rPr>
        <w:t>年通信建设需求。</w:t>
      </w:r>
    </w:p>
    <w:p>
      <w:pPr>
        <w:pStyle w:val="3"/>
      </w:pPr>
      <w:bookmarkStart w:id="17" w:name="_Toc56092690"/>
      <w:bookmarkStart w:id="18" w:name="_Toc55385997"/>
      <w:r>
        <w:rPr>
          <w:rFonts w:hint="eastAsia"/>
        </w:rPr>
        <w:t>规划目标</w:t>
      </w:r>
      <w:bookmarkEnd w:id="17"/>
      <w:bookmarkEnd w:id="18"/>
    </w:p>
    <w:p>
      <w:pPr>
        <w:widowControl w:val="0"/>
        <w:spacing w:line="360" w:lineRule="auto"/>
        <w:ind w:firstLine="480" w:firstLineChars="200"/>
        <w:contextualSpacing/>
        <w:jc w:val="both"/>
        <w:rPr>
          <w:rFonts w:ascii="Times New Roman" w:hAnsi="Times New Roman" w:eastAsia="方正仿宋_GBK" w:cs="Times New Roman"/>
          <w:kern w:val="2"/>
          <w:sz w:val="32"/>
          <w:szCs w:val="32"/>
        </w:rPr>
      </w:pPr>
      <w:r>
        <w:rPr>
          <w:rFonts w:hint="eastAsia" w:cs="Times New Roman"/>
          <w:kern w:val="2"/>
        </w:rPr>
        <w:t>本次规划紧扣国务院发布的《国务院关于印发“十三五”国家信息化规划的通知》（国发</w:t>
      </w:r>
      <w:r>
        <w:rPr>
          <w:rFonts w:cs="Times New Roman"/>
          <w:kern w:val="2"/>
        </w:rPr>
        <w:t>[2016]73</w:t>
      </w:r>
      <w:r>
        <w:rPr>
          <w:rFonts w:hint="eastAsia" w:cs="Times New Roman"/>
          <w:kern w:val="2"/>
        </w:rPr>
        <w:t>号）、重庆市政府发布的《重庆市人民政府关于印发重庆市“十三五”信息化规划的通知》（渝府发</w:t>
      </w:r>
      <w:r>
        <w:rPr>
          <w:rFonts w:cs="Times New Roman"/>
          <w:kern w:val="2"/>
        </w:rPr>
        <w:t>[2017]32</w:t>
      </w:r>
      <w:r>
        <w:rPr>
          <w:rFonts w:hint="eastAsia" w:cs="Times New Roman"/>
          <w:kern w:val="2"/>
        </w:rPr>
        <w:t>号）、重庆市政府办公厅《关于推进</w:t>
      </w:r>
      <w:r>
        <w:rPr>
          <w:rFonts w:cs="Times New Roman"/>
          <w:kern w:val="2"/>
        </w:rPr>
        <w:t>5G</w:t>
      </w:r>
      <w:r>
        <w:rPr>
          <w:rFonts w:hint="eastAsia" w:cs="Times New Roman"/>
          <w:kern w:val="2"/>
        </w:rPr>
        <w:t>通信网建设发展的实施意见》（渝府办发</w:t>
      </w:r>
      <w:r>
        <w:rPr>
          <w:rFonts w:cs="Times New Roman"/>
          <w:kern w:val="2"/>
        </w:rPr>
        <w:t>[2019]4</w:t>
      </w:r>
      <w:r>
        <w:rPr>
          <w:rFonts w:hint="eastAsia" w:cs="Times New Roman"/>
          <w:kern w:val="2"/>
        </w:rPr>
        <w:t>号）、《重庆市加快</w:t>
      </w:r>
      <w:r>
        <w:rPr>
          <w:rFonts w:cs="Times New Roman"/>
          <w:kern w:val="2"/>
        </w:rPr>
        <w:t>5G</w:t>
      </w:r>
      <w:r>
        <w:rPr>
          <w:rFonts w:hint="eastAsia" w:cs="Times New Roman"/>
          <w:kern w:val="2"/>
        </w:rPr>
        <w:t>发展行动计划（</w:t>
      </w:r>
      <w:r>
        <w:rPr>
          <w:rFonts w:cs="Times New Roman"/>
          <w:kern w:val="2"/>
        </w:rPr>
        <w:t>2019-2022</w:t>
      </w:r>
      <w:r>
        <w:rPr>
          <w:rFonts w:hint="eastAsia" w:cs="Times New Roman"/>
          <w:kern w:val="2"/>
        </w:rPr>
        <w:t>年</w:t>
      </w:r>
      <w:r>
        <w:rPr>
          <w:rFonts w:cs="Times New Roman"/>
          <w:kern w:val="2"/>
        </w:rPr>
        <w:t>)</w:t>
      </w:r>
      <w:r>
        <w:rPr>
          <w:rFonts w:hint="eastAsia" w:cs="Times New Roman"/>
          <w:kern w:val="2"/>
        </w:rPr>
        <w:t>的通知》（渝府发</w:t>
      </w:r>
      <w:r>
        <w:rPr>
          <w:rFonts w:cs="Times New Roman"/>
          <w:kern w:val="2"/>
        </w:rPr>
        <w:t>[2019]34</w:t>
      </w:r>
      <w:r>
        <w:rPr>
          <w:rFonts w:hint="eastAsia" w:cs="Times New Roman"/>
          <w:kern w:val="2"/>
        </w:rPr>
        <w:t>号文件）等纲领性文件，力争在规划期内达到“宽带中国”战略和</w:t>
      </w:r>
      <w:r>
        <w:rPr>
          <w:rFonts w:cs="Times New Roman"/>
          <w:kern w:val="2"/>
        </w:rPr>
        <w:t xml:space="preserve"> </w:t>
      </w:r>
      <w:r>
        <w:rPr>
          <w:rFonts w:hint="eastAsia" w:cs="Times New Roman"/>
          <w:kern w:val="2"/>
        </w:rPr>
        <w:t>“光网·无线重庆”战略的相关要求，同时满足重庆市政府办公厅发布关于推进</w:t>
      </w:r>
      <w:r>
        <w:rPr>
          <w:rFonts w:cs="Times New Roman"/>
          <w:kern w:val="2"/>
        </w:rPr>
        <w:t>5G</w:t>
      </w:r>
      <w:r>
        <w:rPr>
          <w:rFonts w:hint="eastAsia" w:cs="Times New Roman"/>
          <w:kern w:val="2"/>
        </w:rPr>
        <w:t>通信网建设发展的实施意见的指标要求，详情如下表所示：</w:t>
      </w:r>
    </w:p>
    <w:p>
      <w:pPr>
        <w:widowControl w:val="0"/>
        <w:spacing w:line="360" w:lineRule="auto"/>
        <w:ind w:firstLine="480" w:firstLineChars="200"/>
        <w:contextualSpacing/>
        <w:jc w:val="both"/>
        <w:rPr>
          <w:rFonts w:ascii="Times New Roman" w:hAnsi="Times New Roman" w:eastAsia="方正仿宋_GBK"/>
          <w:b/>
          <w:sz w:val="28"/>
          <w:szCs w:val="28"/>
        </w:rPr>
      </w:pPr>
      <w:r>
        <w:rPr>
          <w:rFonts w:cs="Times New Roman"/>
          <w:b/>
          <w:kern w:val="2"/>
        </w:rPr>
        <w:t xml:space="preserve">1.1 </w:t>
      </w:r>
      <w:r>
        <w:rPr>
          <w:rFonts w:hint="eastAsia" w:cs="Times New Roman"/>
          <w:b/>
          <w:kern w:val="2"/>
        </w:rPr>
        <w:t>重庆市关于推进</w:t>
      </w:r>
      <w:r>
        <w:rPr>
          <w:rFonts w:cs="Times New Roman"/>
          <w:b/>
          <w:kern w:val="2"/>
        </w:rPr>
        <w:t>5G</w:t>
      </w:r>
      <w:r>
        <w:rPr>
          <w:rFonts w:hint="eastAsia" w:cs="Times New Roman"/>
          <w:b/>
          <w:kern w:val="2"/>
        </w:rPr>
        <w:t>通信网建设发展的实施意见的指标要求</w:t>
      </w:r>
    </w:p>
    <w:tbl>
      <w:tblPr>
        <w:tblStyle w:val="30"/>
        <w:tblW w:w="5000" w:type="pct"/>
        <w:tblInd w:w="0" w:type="dxa"/>
        <w:tblLayout w:type="autofit"/>
        <w:tblCellMar>
          <w:top w:w="0" w:type="dxa"/>
          <w:left w:w="108" w:type="dxa"/>
          <w:bottom w:w="0" w:type="dxa"/>
          <w:right w:w="108" w:type="dxa"/>
        </w:tblCellMar>
      </w:tblPr>
      <w:tblGrid>
        <w:gridCol w:w="807"/>
        <w:gridCol w:w="7402"/>
        <w:gridCol w:w="1339"/>
      </w:tblGrid>
      <w:tr>
        <w:tblPrEx>
          <w:tblCellMar>
            <w:top w:w="0" w:type="dxa"/>
            <w:left w:w="108" w:type="dxa"/>
            <w:bottom w:w="0" w:type="dxa"/>
            <w:right w:w="108" w:type="dxa"/>
          </w:tblCellMar>
        </w:tblPrEx>
        <w:trPr>
          <w:trHeight w:val="300" w:hRule="atLeast"/>
        </w:trPr>
        <w:tc>
          <w:tcPr>
            <w:tcW w:w="423" w:type="pct"/>
            <w:tcBorders>
              <w:top w:val="single" w:color="auto" w:sz="4" w:space="0"/>
              <w:left w:val="single" w:color="auto" w:sz="4" w:space="0"/>
              <w:bottom w:val="single" w:color="auto" w:sz="4" w:space="0"/>
              <w:right w:val="single" w:color="auto" w:sz="4" w:space="0"/>
            </w:tcBorders>
            <w:noWrap/>
            <w:vAlign w:val="bottom"/>
          </w:tcPr>
          <w:p>
            <w:pPr>
              <w:widowControl w:val="0"/>
              <w:spacing w:line="360" w:lineRule="auto"/>
              <w:contextualSpacing/>
              <w:jc w:val="both"/>
              <w:rPr>
                <w:rFonts w:cs="Times New Roman"/>
                <w:kern w:val="2"/>
                <w:sz w:val="21"/>
                <w:szCs w:val="21"/>
              </w:rPr>
            </w:pPr>
            <w:r>
              <w:rPr>
                <w:rFonts w:hint="eastAsia" w:cs="Times New Roman"/>
                <w:kern w:val="2"/>
                <w:sz w:val="21"/>
                <w:szCs w:val="21"/>
              </w:rPr>
              <w:t>序号</w:t>
            </w:r>
          </w:p>
        </w:tc>
        <w:tc>
          <w:tcPr>
            <w:tcW w:w="3876" w:type="pct"/>
            <w:tcBorders>
              <w:top w:val="single" w:color="auto" w:sz="4" w:space="0"/>
              <w:left w:val="nil"/>
              <w:bottom w:val="single" w:color="auto" w:sz="4" w:space="0"/>
              <w:right w:val="single" w:color="auto" w:sz="4" w:space="0"/>
            </w:tcBorders>
            <w:vAlign w:val="center"/>
          </w:tcPr>
          <w:p>
            <w:pPr>
              <w:widowControl w:val="0"/>
              <w:spacing w:line="360" w:lineRule="auto"/>
              <w:ind w:firstLine="420" w:firstLineChars="200"/>
              <w:contextualSpacing/>
              <w:jc w:val="both"/>
              <w:rPr>
                <w:rFonts w:cs="Times New Roman"/>
                <w:kern w:val="2"/>
                <w:sz w:val="21"/>
                <w:szCs w:val="21"/>
              </w:rPr>
            </w:pPr>
            <w:r>
              <w:rPr>
                <w:rFonts w:hint="eastAsia" w:cs="Times New Roman"/>
                <w:kern w:val="2"/>
                <w:sz w:val="21"/>
                <w:szCs w:val="21"/>
              </w:rPr>
              <w:t>指标</w:t>
            </w:r>
          </w:p>
        </w:tc>
        <w:tc>
          <w:tcPr>
            <w:tcW w:w="702" w:type="pct"/>
            <w:tcBorders>
              <w:top w:val="single" w:color="auto" w:sz="4" w:space="0"/>
              <w:left w:val="nil"/>
              <w:bottom w:val="single" w:color="auto" w:sz="4" w:space="0"/>
              <w:right w:val="single" w:color="auto" w:sz="4" w:space="0"/>
            </w:tcBorders>
            <w:vAlign w:val="center"/>
          </w:tcPr>
          <w:p>
            <w:pPr>
              <w:widowControl w:val="0"/>
              <w:spacing w:line="360" w:lineRule="auto"/>
              <w:contextualSpacing/>
              <w:jc w:val="both"/>
              <w:rPr>
                <w:rFonts w:cs="Times New Roman"/>
                <w:kern w:val="2"/>
                <w:sz w:val="21"/>
                <w:szCs w:val="21"/>
              </w:rPr>
            </w:pPr>
            <w:r>
              <w:rPr>
                <w:rFonts w:cs="Times New Roman"/>
                <w:kern w:val="2"/>
                <w:sz w:val="21"/>
                <w:szCs w:val="21"/>
              </w:rPr>
              <w:t>2020</w:t>
            </w:r>
            <w:r>
              <w:rPr>
                <w:rFonts w:hint="eastAsia" w:cs="Times New Roman"/>
                <w:kern w:val="2"/>
                <w:sz w:val="21"/>
                <w:szCs w:val="21"/>
              </w:rPr>
              <w:t>年</w:t>
            </w:r>
          </w:p>
        </w:tc>
      </w:tr>
      <w:tr>
        <w:tblPrEx>
          <w:tblCellMar>
            <w:top w:w="0" w:type="dxa"/>
            <w:left w:w="108" w:type="dxa"/>
            <w:bottom w:w="0" w:type="dxa"/>
            <w:right w:w="108" w:type="dxa"/>
          </w:tblCellMar>
        </w:tblPrEx>
        <w:trPr>
          <w:trHeight w:val="300" w:hRule="atLeast"/>
        </w:trPr>
        <w:tc>
          <w:tcPr>
            <w:tcW w:w="423" w:type="pct"/>
            <w:tcBorders>
              <w:top w:val="nil"/>
              <w:left w:val="single" w:color="auto" w:sz="4" w:space="0"/>
              <w:bottom w:val="single" w:color="auto" w:sz="4" w:space="0"/>
              <w:right w:val="single" w:color="auto" w:sz="4" w:space="0"/>
            </w:tcBorders>
            <w:noWrap/>
            <w:vAlign w:val="bottom"/>
          </w:tcPr>
          <w:p>
            <w:pPr>
              <w:widowControl w:val="0"/>
              <w:spacing w:line="360" w:lineRule="auto"/>
              <w:contextualSpacing/>
              <w:jc w:val="both"/>
              <w:rPr>
                <w:rFonts w:cs="Times New Roman"/>
                <w:kern w:val="2"/>
                <w:sz w:val="21"/>
                <w:szCs w:val="21"/>
              </w:rPr>
            </w:pPr>
            <w:r>
              <w:rPr>
                <w:rFonts w:cs="Times New Roman"/>
                <w:kern w:val="2"/>
                <w:sz w:val="21"/>
                <w:szCs w:val="21"/>
              </w:rPr>
              <w:t>1</w:t>
            </w:r>
          </w:p>
        </w:tc>
        <w:tc>
          <w:tcPr>
            <w:tcW w:w="3876" w:type="pct"/>
            <w:tcBorders>
              <w:top w:val="nil"/>
              <w:left w:val="nil"/>
              <w:bottom w:val="single" w:color="auto" w:sz="4" w:space="0"/>
              <w:right w:val="single" w:color="auto" w:sz="4" w:space="0"/>
            </w:tcBorders>
            <w:noWrap/>
            <w:vAlign w:val="center"/>
          </w:tcPr>
          <w:p>
            <w:pPr>
              <w:widowControl w:val="0"/>
              <w:spacing w:line="360" w:lineRule="auto"/>
              <w:ind w:firstLine="420" w:firstLineChars="200"/>
              <w:contextualSpacing/>
              <w:jc w:val="both"/>
              <w:rPr>
                <w:rFonts w:cs="Times New Roman"/>
                <w:kern w:val="2"/>
                <w:sz w:val="21"/>
                <w:szCs w:val="21"/>
              </w:rPr>
            </w:pPr>
            <w:r>
              <w:rPr>
                <w:rFonts w:hint="eastAsia" w:cs="Times New Roman"/>
                <w:kern w:val="2"/>
                <w:sz w:val="21"/>
                <w:szCs w:val="21"/>
              </w:rPr>
              <w:t>完成推进全面社会公共杆塔资源开放</w:t>
            </w:r>
          </w:p>
        </w:tc>
        <w:tc>
          <w:tcPr>
            <w:tcW w:w="702" w:type="pct"/>
            <w:tcBorders>
              <w:top w:val="nil"/>
              <w:left w:val="nil"/>
              <w:bottom w:val="single" w:color="auto" w:sz="4" w:space="0"/>
              <w:right w:val="single" w:color="auto" w:sz="4" w:space="0"/>
            </w:tcBorders>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第一季度</w:t>
            </w:r>
          </w:p>
        </w:tc>
      </w:tr>
      <w:tr>
        <w:tblPrEx>
          <w:tblCellMar>
            <w:top w:w="0" w:type="dxa"/>
            <w:left w:w="108" w:type="dxa"/>
            <w:bottom w:w="0" w:type="dxa"/>
            <w:right w:w="108" w:type="dxa"/>
          </w:tblCellMar>
        </w:tblPrEx>
        <w:trPr>
          <w:trHeight w:val="300" w:hRule="atLeast"/>
        </w:trPr>
        <w:tc>
          <w:tcPr>
            <w:tcW w:w="423" w:type="pct"/>
            <w:tcBorders>
              <w:top w:val="nil"/>
              <w:left w:val="single" w:color="auto" w:sz="4" w:space="0"/>
              <w:bottom w:val="single" w:color="auto" w:sz="4" w:space="0"/>
              <w:right w:val="single" w:color="auto" w:sz="4" w:space="0"/>
            </w:tcBorders>
            <w:noWrap/>
            <w:vAlign w:val="bottom"/>
          </w:tcPr>
          <w:p>
            <w:pPr>
              <w:widowControl w:val="0"/>
              <w:spacing w:line="360" w:lineRule="auto"/>
              <w:contextualSpacing/>
              <w:jc w:val="both"/>
              <w:rPr>
                <w:rFonts w:cs="Times New Roman"/>
                <w:kern w:val="2"/>
                <w:sz w:val="21"/>
                <w:szCs w:val="21"/>
              </w:rPr>
            </w:pPr>
            <w:r>
              <w:rPr>
                <w:rFonts w:cs="Times New Roman"/>
                <w:kern w:val="2"/>
                <w:sz w:val="21"/>
                <w:szCs w:val="21"/>
              </w:rPr>
              <w:t>2</w:t>
            </w:r>
          </w:p>
        </w:tc>
        <w:tc>
          <w:tcPr>
            <w:tcW w:w="3876" w:type="pct"/>
            <w:tcBorders>
              <w:top w:val="nil"/>
              <w:left w:val="nil"/>
              <w:bottom w:val="single" w:color="auto" w:sz="4" w:space="0"/>
              <w:right w:val="single" w:color="auto" w:sz="4" w:space="0"/>
            </w:tcBorders>
            <w:noWrap/>
            <w:vAlign w:val="center"/>
          </w:tcPr>
          <w:p>
            <w:pPr>
              <w:widowControl w:val="0"/>
              <w:spacing w:line="360" w:lineRule="auto"/>
              <w:ind w:firstLine="420" w:firstLineChars="200"/>
              <w:contextualSpacing/>
              <w:jc w:val="both"/>
              <w:rPr>
                <w:rFonts w:cs="Times New Roman"/>
                <w:kern w:val="2"/>
                <w:sz w:val="21"/>
                <w:szCs w:val="21"/>
              </w:rPr>
            </w:pPr>
            <w:r>
              <w:rPr>
                <w:rFonts w:hint="eastAsia" w:cs="Times New Roman"/>
                <w:kern w:val="2"/>
                <w:sz w:val="21"/>
                <w:szCs w:val="21"/>
              </w:rPr>
              <w:t>基于社会杆塔设施资源的“多杆合一”</w:t>
            </w:r>
            <w:r>
              <w:rPr>
                <w:rFonts w:cs="Times New Roman"/>
                <w:kern w:val="2"/>
                <w:sz w:val="21"/>
                <w:szCs w:val="21"/>
              </w:rPr>
              <w:t>5G</w:t>
            </w:r>
            <w:r>
              <w:rPr>
                <w:rFonts w:hint="eastAsia" w:cs="Times New Roman"/>
                <w:kern w:val="2"/>
                <w:sz w:val="21"/>
                <w:szCs w:val="21"/>
              </w:rPr>
              <w:t>宏基站站址</w:t>
            </w:r>
          </w:p>
        </w:tc>
        <w:tc>
          <w:tcPr>
            <w:tcW w:w="702" w:type="pct"/>
            <w:tcBorders>
              <w:top w:val="nil"/>
              <w:left w:val="nil"/>
              <w:bottom w:val="single" w:color="auto" w:sz="4" w:space="0"/>
              <w:right w:val="single" w:color="auto" w:sz="4" w:space="0"/>
            </w:tcBorders>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一万座</w:t>
            </w:r>
          </w:p>
        </w:tc>
      </w:tr>
      <w:tr>
        <w:tblPrEx>
          <w:tblCellMar>
            <w:top w:w="0" w:type="dxa"/>
            <w:left w:w="108" w:type="dxa"/>
            <w:bottom w:w="0" w:type="dxa"/>
            <w:right w:w="108" w:type="dxa"/>
          </w:tblCellMar>
        </w:tblPrEx>
        <w:trPr>
          <w:trHeight w:val="300" w:hRule="atLeast"/>
        </w:trPr>
        <w:tc>
          <w:tcPr>
            <w:tcW w:w="423" w:type="pct"/>
            <w:tcBorders>
              <w:top w:val="nil"/>
              <w:left w:val="single" w:color="auto" w:sz="4" w:space="0"/>
              <w:bottom w:val="single" w:color="auto" w:sz="4" w:space="0"/>
              <w:right w:val="single" w:color="auto" w:sz="4" w:space="0"/>
            </w:tcBorders>
            <w:noWrap/>
            <w:vAlign w:val="bottom"/>
          </w:tcPr>
          <w:p>
            <w:pPr>
              <w:widowControl w:val="0"/>
              <w:spacing w:line="360" w:lineRule="auto"/>
              <w:contextualSpacing/>
              <w:jc w:val="both"/>
              <w:rPr>
                <w:rFonts w:cs="Times New Roman"/>
                <w:kern w:val="2"/>
                <w:sz w:val="21"/>
                <w:szCs w:val="21"/>
              </w:rPr>
            </w:pPr>
            <w:r>
              <w:rPr>
                <w:rFonts w:cs="Times New Roman"/>
                <w:kern w:val="2"/>
                <w:sz w:val="21"/>
                <w:szCs w:val="21"/>
              </w:rPr>
              <w:t>3</w:t>
            </w:r>
          </w:p>
        </w:tc>
        <w:tc>
          <w:tcPr>
            <w:tcW w:w="3876" w:type="pct"/>
            <w:tcBorders>
              <w:top w:val="nil"/>
              <w:left w:val="nil"/>
              <w:bottom w:val="single" w:color="auto" w:sz="4" w:space="0"/>
              <w:right w:val="single" w:color="auto" w:sz="4" w:space="0"/>
            </w:tcBorders>
            <w:noWrap/>
            <w:vAlign w:val="center"/>
          </w:tcPr>
          <w:p>
            <w:pPr>
              <w:widowControl w:val="0"/>
              <w:spacing w:line="360" w:lineRule="auto"/>
              <w:ind w:firstLine="420" w:firstLineChars="200"/>
              <w:contextualSpacing/>
              <w:jc w:val="both"/>
              <w:rPr>
                <w:rFonts w:cs="Times New Roman"/>
                <w:kern w:val="2"/>
                <w:sz w:val="21"/>
                <w:szCs w:val="21"/>
              </w:rPr>
            </w:pPr>
            <w:r>
              <w:rPr>
                <w:rFonts w:hint="eastAsia" w:cs="Times New Roman"/>
                <w:kern w:val="2"/>
                <w:sz w:val="21"/>
                <w:szCs w:val="21"/>
              </w:rPr>
              <w:t>基于社会杆塔设施资源的“多杆合一”</w:t>
            </w:r>
            <w:r>
              <w:rPr>
                <w:rFonts w:cs="Times New Roman"/>
                <w:kern w:val="2"/>
                <w:sz w:val="21"/>
                <w:szCs w:val="21"/>
              </w:rPr>
              <w:t>5G</w:t>
            </w:r>
            <w:r>
              <w:rPr>
                <w:rFonts w:hint="eastAsia" w:cs="Times New Roman"/>
                <w:kern w:val="2"/>
                <w:sz w:val="21"/>
                <w:szCs w:val="21"/>
              </w:rPr>
              <w:t>微</w:t>
            </w:r>
            <w:r>
              <w:rPr>
                <w:rFonts w:cs="Times New Roman"/>
                <w:kern w:val="2"/>
                <w:sz w:val="21"/>
                <w:szCs w:val="21"/>
              </w:rPr>
              <w:t>/</w:t>
            </w:r>
            <w:r>
              <w:rPr>
                <w:rFonts w:hint="eastAsia" w:cs="Times New Roman"/>
                <w:kern w:val="2"/>
                <w:sz w:val="21"/>
                <w:szCs w:val="21"/>
              </w:rPr>
              <w:t>皮基站站址</w:t>
            </w:r>
          </w:p>
        </w:tc>
        <w:tc>
          <w:tcPr>
            <w:tcW w:w="702" w:type="pct"/>
            <w:tcBorders>
              <w:top w:val="nil"/>
              <w:left w:val="nil"/>
              <w:bottom w:val="single" w:color="auto" w:sz="4" w:space="0"/>
              <w:right w:val="single" w:color="auto" w:sz="4" w:space="0"/>
            </w:tcBorders>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五万座</w:t>
            </w:r>
          </w:p>
        </w:tc>
      </w:tr>
      <w:tr>
        <w:tblPrEx>
          <w:tblCellMar>
            <w:top w:w="0" w:type="dxa"/>
            <w:left w:w="108" w:type="dxa"/>
            <w:bottom w:w="0" w:type="dxa"/>
            <w:right w:w="108" w:type="dxa"/>
          </w:tblCellMar>
        </w:tblPrEx>
        <w:trPr>
          <w:trHeight w:val="300" w:hRule="atLeast"/>
        </w:trPr>
        <w:tc>
          <w:tcPr>
            <w:tcW w:w="423" w:type="pct"/>
            <w:tcBorders>
              <w:top w:val="nil"/>
              <w:left w:val="single" w:color="auto" w:sz="4" w:space="0"/>
              <w:bottom w:val="single" w:color="auto" w:sz="4" w:space="0"/>
              <w:right w:val="single" w:color="auto" w:sz="4" w:space="0"/>
            </w:tcBorders>
            <w:noWrap/>
            <w:vAlign w:val="bottom"/>
          </w:tcPr>
          <w:p>
            <w:pPr>
              <w:widowControl w:val="0"/>
              <w:spacing w:line="360" w:lineRule="auto"/>
              <w:contextualSpacing/>
              <w:jc w:val="both"/>
              <w:rPr>
                <w:rFonts w:cs="Times New Roman"/>
                <w:kern w:val="2"/>
                <w:sz w:val="21"/>
                <w:szCs w:val="21"/>
              </w:rPr>
            </w:pPr>
            <w:r>
              <w:rPr>
                <w:rFonts w:cs="Times New Roman"/>
                <w:kern w:val="2"/>
                <w:sz w:val="21"/>
                <w:szCs w:val="21"/>
              </w:rPr>
              <w:t>4</w:t>
            </w:r>
          </w:p>
        </w:tc>
        <w:tc>
          <w:tcPr>
            <w:tcW w:w="3876" w:type="pct"/>
            <w:tcBorders>
              <w:top w:val="nil"/>
              <w:left w:val="nil"/>
              <w:bottom w:val="single" w:color="auto" w:sz="4" w:space="0"/>
              <w:right w:val="single" w:color="auto" w:sz="4" w:space="0"/>
            </w:tcBorders>
            <w:noWrap/>
            <w:vAlign w:val="center"/>
          </w:tcPr>
          <w:p>
            <w:pPr>
              <w:widowControl w:val="0"/>
              <w:spacing w:line="360" w:lineRule="auto"/>
              <w:ind w:firstLine="420" w:firstLineChars="200"/>
              <w:contextualSpacing/>
              <w:jc w:val="both"/>
              <w:rPr>
                <w:rFonts w:cs="Times New Roman"/>
                <w:kern w:val="2"/>
                <w:sz w:val="21"/>
                <w:szCs w:val="21"/>
              </w:rPr>
            </w:pPr>
            <w:r>
              <w:rPr>
                <w:rFonts w:hint="eastAsia" w:cs="Times New Roman"/>
                <w:kern w:val="2"/>
                <w:sz w:val="21"/>
                <w:szCs w:val="21"/>
              </w:rPr>
              <w:t>通信基础设施专项规划编制率</w:t>
            </w:r>
          </w:p>
        </w:tc>
        <w:tc>
          <w:tcPr>
            <w:tcW w:w="702" w:type="pct"/>
            <w:tcBorders>
              <w:top w:val="nil"/>
              <w:left w:val="nil"/>
              <w:bottom w:val="single" w:color="auto" w:sz="4" w:space="0"/>
              <w:right w:val="single" w:color="auto" w:sz="4" w:space="0"/>
            </w:tcBorders>
            <w:vAlign w:val="center"/>
          </w:tcPr>
          <w:p>
            <w:pPr>
              <w:widowControl w:val="0"/>
              <w:spacing w:line="360" w:lineRule="auto"/>
              <w:contextualSpacing/>
              <w:jc w:val="both"/>
              <w:rPr>
                <w:rFonts w:cs="Times New Roman"/>
                <w:kern w:val="2"/>
                <w:sz w:val="21"/>
                <w:szCs w:val="21"/>
              </w:rPr>
            </w:pPr>
            <w:r>
              <w:rPr>
                <w:rFonts w:cs="Times New Roman"/>
                <w:kern w:val="2"/>
                <w:sz w:val="21"/>
                <w:szCs w:val="21"/>
              </w:rPr>
              <w:t>100%</w:t>
            </w:r>
          </w:p>
        </w:tc>
      </w:tr>
    </w:tbl>
    <w:p>
      <w:pPr>
        <w:widowControl w:val="0"/>
        <w:spacing w:line="360" w:lineRule="auto"/>
        <w:ind w:firstLine="480" w:firstLineChars="200"/>
        <w:contextualSpacing/>
        <w:jc w:val="both"/>
        <w:rPr>
          <w:rFonts w:ascii="Times New Roman" w:hAnsi="Times New Roman" w:eastAsia="方正仿宋_GBK" w:cs="Times New Roman"/>
          <w:kern w:val="2"/>
          <w:sz w:val="32"/>
          <w:szCs w:val="32"/>
        </w:rPr>
      </w:pPr>
      <w:r>
        <w:rPr>
          <w:rFonts w:hint="eastAsia" w:cs="Times New Roman"/>
          <w:kern w:val="2"/>
        </w:rPr>
        <w:t>为实现以上通信指标，本次梁平区</w:t>
      </w:r>
      <w:r>
        <w:rPr>
          <w:rFonts w:cs="Times New Roman"/>
          <w:kern w:val="2"/>
        </w:rPr>
        <w:t>5G</w:t>
      </w:r>
      <w:r>
        <w:rPr>
          <w:rFonts w:hint="eastAsia" w:cs="Times New Roman"/>
          <w:kern w:val="2"/>
        </w:rPr>
        <w:t>通信基础设施规划的目标如下：</w:t>
      </w:r>
    </w:p>
    <w:p>
      <w:pPr>
        <w:widowControl w:val="0"/>
        <w:spacing w:line="360" w:lineRule="auto"/>
        <w:ind w:firstLine="480" w:firstLineChars="200"/>
        <w:contextualSpacing/>
        <w:jc w:val="both"/>
        <w:rPr>
          <w:rFonts w:cs="Times New Roman"/>
          <w:b/>
          <w:kern w:val="2"/>
        </w:rPr>
      </w:pPr>
      <w:r>
        <w:rPr>
          <w:rFonts w:cs="Times New Roman"/>
          <w:b/>
          <w:kern w:val="2"/>
        </w:rPr>
        <w:t xml:space="preserve">1.2 </w:t>
      </w:r>
      <w:r>
        <w:rPr>
          <w:rFonts w:hint="eastAsia" w:cs="Times New Roman"/>
          <w:b/>
          <w:kern w:val="2"/>
        </w:rPr>
        <w:t>梁平区</w:t>
      </w:r>
      <w:r>
        <w:rPr>
          <w:rFonts w:cs="Times New Roman"/>
          <w:b/>
          <w:kern w:val="2"/>
        </w:rPr>
        <w:t>5G</w:t>
      </w:r>
      <w:r>
        <w:rPr>
          <w:rFonts w:hint="eastAsia" w:cs="Times New Roman"/>
          <w:b/>
          <w:kern w:val="2"/>
        </w:rPr>
        <w:t>通信基础设施规划目标</w:t>
      </w:r>
    </w:p>
    <w:tbl>
      <w:tblPr>
        <w:tblStyle w:val="30"/>
        <w:tblW w:w="5000" w:type="pct"/>
        <w:tblInd w:w="0" w:type="dxa"/>
        <w:tblLayout w:type="fixed"/>
        <w:tblCellMar>
          <w:top w:w="0" w:type="dxa"/>
          <w:left w:w="108" w:type="dxa"/>
          <w:bottom w:w="0" w:type="dxa"/>
          <w:right w:w="108" w:type="dxa"/>
        </w:tblCellMar>
      </w:tblPr>
      <w:tblGrid>
        <w:gridCol w:w="1080"/>
        <w:gridCol w:w="1818"/>
        <w:gridCol w:w="2034"/>
        <w:gridCol w:w="4616"/>
      </w:tblGrid>
      <w:tr>
        <w:tblPrEx>
          <w:tblCellMar>
            <w:top w:w="0" w:type="dxa"/>
            <w:left w:w="108" w:type="dxa"/>
            <w:bottom w:w="0" w:type="dxa"/>
            <w:right w:w="108" w:type="dxa"/>
          </w:tblCellMar>
        </w:tblPrEx>
        <w:trPr>
          <w:trHeight w:val="280" w:hRule="atLeast"/>
          <w:tblHeader/>
        </w:trPr>
        <w:tc>
          <w:tcPr>
            <w:tcW w:w="566"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序号</w:t>
            </w:r>
          </w:p>
        </w:tc>
        <w:tc>
          <w:tcPr>
            <w:tcW w:w="952"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名称</w:t>
            </w:r>
          </w:p>
        </w:tc>
        <w:tc>
          <w:tcPr>
            <w:tcW w:w="1065"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区域</w:t>
            </w:r>
          </w:p>
        </w:tc>
        <w:tc>
          <w:tcPr>
            <w:tcW w:w="2417"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指标描述</w:t>
            </w:r>
          </w:p>
        </w:tc>
      </w:tr>
      <w:tr>
        <w:tblPrEx>
          <w:tblCellMar>
            <w:top w:w="0" w:type="dxa"/>
            <w:left w:w="108" w:type="dxa"/>
            <w:bottom w:w="0" w:type="dxa"/>
            <w:right w:w="108" w:type="dxa"/>
          </w:tblCellMar>
        </w:tblPrEx>
        <w:trPr>
          <w:trHeight w:val="280" w:hRule="atLeast"/>
        </w:trPr>
        <w:tc>
          <w:tcPr>
            <w:tcW w:w="566" w:type="pct"/>
            <w:tcBorders>
              <w:top w:val="nil"/>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1</w:t>
            </w:r>
          </w:p>
        </w:tc>
        <w:tc>
          <w:tcPr>
            <w:tcW w:w="952" w:type="pct"/>
            <w:vMerge w:val="restart"/>
            <w:tcBorders>
              <w:top w:val="nil"/>
              <w:left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5G</w:t>
            </w:r>
            <w:r>
              <w:rPr>
                <w:rFonts w:hint="eastAsia" w:cs="Times New Roman"/>
                <w:kern w:val="2"/>
                <w:sz w:val="21"/>
                <w:szCs w:val="21"/>
              </w:rPr>
              <w:t>移动网络</w:t>
            </w:r>
          </w:p>
        </w:tc>
        <w:tc>
          <w:tcPr>
            <w:tcW w:w="1065"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城区</w:t>
            </w:r>
          </w:p>
        </w:tc>
        <w:tc>
          <w:tcPr>
            <w:tcW w:w="2417"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室外连续覆盖</w:t>
            </w:r>
            <w:r>
              <w:rPr>
                <w:rFonts w:cs="Times New Roman"/>
                <w:kern w:val="2"/>
                <w:sz w:val="21"/>
                <w:szCs w:val="21"/>
              </w:rPr>
              <w:t>100%</w:t>
            </w:r>
            <w:r>
              <w:rPr>
                <w:rFonts w:hint="eastAsia" w:cs="Times New Roman"/>
                <w:kern w:val="2"/>
                <w:sz w:val="21"/>
                <w:szCs w:val="21"/>
              </w:rPr>
              <w:t>及深度覆盖</w:t>
            </w:r>
            <w:r>
              <w:rPr>
                <w:rFonts w:cs="Times New Roman"/>
                <w:kern w:val="2"/>
                <w:sz w:val="21"/>
                <w:szCs w:val="21"/>
              </w:rPr>
              <w:t>95%</w:t>
            </w:r>
          </w:p>
        </w:tc>
      </w:tr>
      <w:tr>
        <w:tblPrEx>
          <w:tblCellMar>
            <w:top w:w="0" w:type="dxa"/>
            <w:left w:w="108" w:type="dxa"/>
            <w:bottom w:w="0" w:type="dxa"/>
            <w:right w:w="108" w:type="dxa"/>
          </w:tblCellMar>
        </w:tblPrEx>
        <w:trPr>
          <w:trHeight w:val="280" w:hRule="atLeast"/>
        </w:trPr>
        <w:tc>
          <w:tcPr>
            <w:tcW w:w="566" w:type="pct"/>
            <w:tcBorders>
              <w:top w:val="nil"/>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2</w:t>
            </w:r>
          </w:p>
        </w:tc>
        <w:tc>
          <w:tcPr>
            <w:tcW w:w="952" w:type="pct"/>
            <w:vMerge w:val="continue"/>
            <w:tcBorders>
              <w:left w:val="single" w:color="auto" w:sz="4" w:space="0"/>
              <w:right w:val="single" w:color="auto" w:sz="4" w:space="0"/>
            </w:tcBorders>
            <w:vAlign w:val="center"/>
          </w:tcPr>
          <w:p>
            <w:pPr>
              <w:widowControl w:val="0"/>
              <w:spacing w:line="360" w:lineRule="auto"/>
              <w:ind w:firstLine="420" w:firstLineChars="200"/>
              <w:contextualSpacing/>
              <w:jc w:val="both"/>
              <w:rPr>
                <w:rFonts w:cs="Times New Roman"/>
                <w:kern w:val="2"/>
                <w:sz w:val="21"/>
                <w:szCs w:val="21"/>
              </w:rPr>
            </w:pPr>
          </w:p>
        </w:tc>
        <w:tc>
          <w:tcPr>
            <w:tcW w:w="1065"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乡镇</w:t>
            </w:r>
          </w:p>
        </w:tc>
        <w:tc>
          <w:tcPr>
            <w:tcW w:w="2417"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室外连续覆盖</w:t>
            </w:r>
            <w:r>
              <w:rPr>
                <w:rFonts w:cs="Times New Roman"/>
                <w:kern w:val="2"/>
                <w:sz w:val="21"/>
                <w:szCs w:val="21"/>
              </w:rPr>
              <w:t>100%</w:t>
            </w:r>
          </w:p>
        </w:tc>
      </w:tr>
      <w:tr>
        <w:tblPrEx>
          <w:tblCellMar>
            <w:top w:w="0" w:type="dxa"/>
            <w:left w:w="108" w:type="dxa"/>
            <w:bottom w:w="0" w:type="dxa"/>
            <w:right w:w="108" w:type="dxa"/>
          </w:tblCellMar>
        </w:tblPrEx>
        <w:trPr>
          <w:trHeight w:val="280" w:hRule="atLeast"/>
        </w:trPr>
        <w:tc>
          <w:tcPr>
            <w:tcW w:w="566" w:type="pct"/>
            <w:tcBorders>
              <w:top w:val="nil"/>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3</w:t>
            </w:r>
          </w:p>
        </w:tc>
        <w:tc>
          <w:tcPr>
            <w:tcW w:w="952" w:type="pct"/>
            <w:vMerge w:val="continue"/>
            <w:tcBorders>
              <w:left w:val="single" w:color="auto" w:sz="4" w:space="0"/>
              <w:right w:val="single" w:color="auto" w:sz="4" w:space="0"/>
            </w:tcBorders>
            <w:vAlign w:val="center"/>
          </w:tcPr>
          <w:p>
            <w:pPr>
              <w:widowControl w:val="0"/>
              <w:spacing w:line="360" w:lineRule="auto"/>
              <w:ind w:firstLine="420" w:firstLineChars="200"/>
              <w:contextualSpacing/>
              <w:jc w:val="both"/>
              <w:rPr>
                <w:rFonts w:cs="Times New Roman"/>
                <w:kern w:val="2"/>
                <w:sz w:val="21"/>
                <w:szCs w:val="21"/>
              </w:rPr>
            </w:pPr>
          </w:p>
        </w:tc>
        <w:tc>
          <w:tcPr>
            <w:tcW w:w="1065"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工业园区</w:t>
            </w:r>
          </w:p>
        </w:tc>
        <w:tc>
          <w:tcPr>
            <w:tcW w:w="2417"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室外连续覆盖</w:t>
            </w:r>
            <w:r>
              <w:rPr>
                <w:rFonts w:cs="Times New Roman"/>
                <w:kern w:val="2"/>
                <w:sz w:val="21"/>
                <w:szCs w:val="21"/>
              </w:rPr>
              <w:t>100%</w:t>
            </w:r>
          </w:p>
        </w:tc>
      </w:tr>
      <w:tr>
        <w:tblPrEx>
          <w:tblCellMar>
            <w:top w:w="0" w:type="dxa"/>
            <w:left w:w="108" w:type="dxa"/>
            <w:bottom w:w="0" w:type="dxa"/>
            <w:right w:w="108" w:type="dxa"/>
          </w:tblCellMar>
        </w:tblPrEx>
        <w:trPr>
          <w:trHeight w:val="280" w:hRule="atLeast"/>
        </w:trPr>
        <w:tc>
          <w:tcPr>
            <w:tcW w:w="566" w:type="pct"/>
            <w:tcBorders>
              <w:top w:val="nil"/>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4</w:t>
            </w:r>
          </w:p>
        </w:tc>
        <w:tc>
          <w:tcPr>
            <w:tcW w:w="952" w:type="pct"/>
            <w:vMerge w:val="continue"/>
            <w:tcBorders>
              <w:left w:val="single" w:color="auto" w:sz="4" w:space="0"/>
              <w:right w:val="single" w:color="auto" w:sz="4" w:space="0"/>
            </w:tcBorders>
            <w:vAlign w:val="center"/>
          </w:tcPr>
          <w:p>
            <w:pPr>
              <w:widowControl w:val="0"/>
              <w:spacing w:line="360" w:lineRule="auto"/>
              <w:ind w:firstLine="420" w:firstLineChars="200"/>
              <w:contextualSpacing/>
              <w:jc w:val="both"/>
              <w:rPr>
                <w:rFonts w:cs="Times New Roman"/>
                <w:kern w:val="2"/>
                <w:sz w:val="21"/>
                <w:szCs w:val="21"/>
              </w:rPr>
            </w:pPr>
          </w:p>
        </w:tc>
        <w:tc>
          <w:tcPr>
            <w:tcW w:w="1065"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景区</w:t>
            </w:r>
          </w:p>
        </w:tc>
        <w:tc>
          <w:tcPr>
            <w:tcW w:w="2417" w:type="pct"/>
            <w:tcBorders>
              <w:top w:val="nil"/>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景区步道连续覆盖</w:t>
            </w:r>
            <w:r>
              <w:rPr>
                <w:rFonts w:cs="Times New Roman"/>
                <w:kern w:val="2"/>
                <w:sz w:val="21"/>
                <w:szCs w:val="21"/>
              </w:rPr>
              <w:t>95%</w:t>
            </w:r>
          </w:p>
        </w:tc>
      </w:tr>
      <w:tr>
        <w:tblPrEx>
          <w:tblCellMar>
            <w:top w:w="0" w:type="dxa"/>
            <w:left w:w="108" w:type="dxa"/>
            <w:bottom w:w="0" w:type="dxa"/>
            <w:right w:w="108" w:type="dxa"/>
          </w:tblCellMar>
        </w:tblPrEx>
        <w:trPr>
          <w:trHeight w:val="280" w:hRule="atLeast"/>
        </w:trPr>
        <w:tc>
          <w:tcPr>
            <w:tcW w:w="566"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5</w:t>
            </w:r>
          </w:p>
        </w:tc>
        <w:tc>
          <w:tcPr>
            <w:tcW w:w="952" w:type="pct"/>
            <w:vMerge w:val="continue"/>
            <w:tcBorders>
              <w:left w:val="single" w:color="auto" w:sz="4" w:space="0"/>
              <w:right w:val="single" w:color="auto" w:sz="4" w:space="0"/>
            </w:tcBorders>
            <w:vAlign w:val="center"/>
          </w:tcPr>
          <w:p>
            <w:pPr>
              <w:widowControl w:val="0"/>
              <w:spacing w:line="360" w:lineRule="auto"/>
              <w:ind w:firstLine="420" w:firstLineChars="200"/>
              <w:contextualSpacing/>
              <w:jc w:val="both"/>
              <w:rPr>
                <w:rFonts w:cs="Times New Roman"/>
                <w:kern w:val="2"/>
                <w:sz w:val="21"/>
                <w:szCs w:val="21"/>
              </w:rPr>
            </w:pPr>
          </w:p>
        </w:tc>
        <w:tc>
          <w:tcPr>
            <w:tcW w:w="1065"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重点楼宇</w:t>
            </w:r>
          </w:p>
        </w:tc>
        <w:tc>
          <w:tcPr>
            <w:tcW w:w="2417"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室内分布及综合覆盖系统覆盖</w:t>
            </w:r>
            <w:r>
              <w:rPr>
                <w:rFonts w:cs="Times New Roman"/>
                <w:kern w:val="2"/>
                <w:sz w:val="21"/>
                <w:szCs w:val="21"/>
              </w:rPr>
              <w:t>100%</w:t>
            </w:r>
          </w:p>
        </w:tc>
      </w:tr>
      <w:tr>
        <w:tblPrEx>
          <w:tblCellMar>
            <w:top w:w="0" w:type="dxa"/>
            <w:left w:w="108" w:type="dxa"/>
            <w:bottom w:w="0" w:type="dxa"/>
            <w:right w:w="108" w:type="dxa"/>
          </w:tblCellMar>
        </w:tblPrEx>
        <w:trPr>
          <w:trHeight w:val="280" w:hRule="atLeast"/>
        </w:trPr>
        <w:tc>
          <w:tcPr>
            <w:tcW w:w="566"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6</w:t>
            </w:r>
          </w:p>
        </w:tc>
        <w:tc>
          <w:tcPr>
            <w:tcW w:w="952" w:type="pct"/>
            <w:vMerge w:val="continue"/>
            <w:tcBorders>
              <w:left w:val="single" w:color="auto" w:sz="4" w:space="0"/>
              <w:bottom w:val="single" w:color="auto" w:sz="4" w:space="0"/>
              <w:right w:val="single" w:color="auto" w:sz="4" w:space="0"/>
            </w:tcBorders>
            <w:vAlign w:val="center"/>
          </w:tcPr>
          <w:p>
            <w:pPr>
              <w:widowControl w:val="0"/>
              <w:spacing w:line="360" w:lineRule="auto"/>
              <w:ind w:firstLine="420" w:firstLineChars="200"/>
              <w:contextualSpacing/>
              <w:jc w:val="both"/>
              <w:rPr>
                <w:rFonts w:cs="Times New Roman"/>
                <w:kern w:val="2"/>
                <w:sz w:val="21"/>
                <w:szCs w:val="21"/>
              </w:rPr>
            </w:pPr>
          </w:p>
        </w:tc>
        <w:tc>
          <w:tcPr>
            <w:tcW w:w="1065"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大型居民小区</w:t>
            </w:r>
          </w:p>
        </w:tc>
        <w:tc>
          <w:tcPr>
            <w:tcW w:w="2417"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室内分布及综合覆盖系统覆盖</w:t>
            </w:r>
            <w:r>
              <w:rPr>
                <w:rFonts w:cs="Times New Roman"/>
                <w:kern w:val="2"/>
                <w:sz w:val="21"/>
                <w:szCs w:val="21"/>
              </w:rPr>
              <w:t>98%</w:t>
            </w:r>
          </w:p>
        </w:tc>
      </w:tr>
      <w:tr>
        <w:tblPrEx>
          <w:tblCellMar>
            <w:top w:w="0" w:type="dxa"/>
            <w:left w:w="108" w:type="dxa"/>
            <w:bottom w:w="0" w:type="dxa"/>
            <w:right w:w="108" w:type="dxa"/>
          </w:tblCellMar>
        </w:tblPrEx>
        <w:trPr>
          <w:trHeight w:val="280" w:hRule="atLeast"/>
        </w:trPr>
        <w:tc>
          <w:tcPr>
            <w:tcW w:w="566"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cs="Times New Roman"/>
                <w:kern w:val="2"/>
                <w:sz w:val="21"/>
                <w:szCs w:val="21"/>
              </w:rPr>
              <w:t>7</w:t>
            </w:r>
          </w:p>
        </w:tc>
        <w:tc>
          <w:tcPr>
            <w:tcW w:w="952" w:type="pct"/>
            <w:tcBorders>
              <w:top w:val="single" w:color="auto" w:sz="4" w:space="0"/>
              <w:left w:val="single" w:color="auto" w:sz="4" w:space="0"/>
              <w:bottom w:val="single" w:color="auto" w:sz="4" w:space="0"/>
              <w:right w:val="single" w:color="auto" w:sz="4" w:space="0"/>
            </w:tcBorders>
            <w:vAlign w:val="center"/>
          </w:tcPr>
          <w:p>
            <w:pPr>
              <w:widowControl w:val="0"/>
              <w:spacing w:line="360" w:lineRule="auto"/>
              <w:contextualSpacing/>
              <w:jc w:val="both"/>
              <w:rPr>
                <w:rFonts w:cs="Times New Roman"/>
                <w:kern w:val="2"/>
                <w:sz w:val="21"/>
                <w:szCs w:val="21"/>
              </w:rPr>
            </w:pPr>
            <w:r>
              <w:rPr>
                <w:rFonts w:cs="Times New Roman"/>
                <w:kern w:val="2"/>
                <w:sz w:val="21"/>
                <w:szCs w:val="21"/>
              </w:rPr>
              <w:t>5G</w:t>
            </w:r>
            <w:r>
              <w:rPr>
                <w:rFonts w:hint="eastAsia" w:cs="Times New Roman"/>
                <w:kern w:val="2"/>
                <w:sz w:val="21"/>
                <w:szCs w:val="21"/>
              </w:rPr>
              <w:t>综合接入机房</w:t>
            </w:r>
          </w:p>
        </w:tc>
        <w:tc>
          <w:tcPr>
            <w:tcW w:w="1065"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城区及乡镇</w:t>
            </w:r>
          </w:p>
        </w:tc>
        <w:tc>
          <w:tcPr>
            <w:tcW w:w="2417" w:type="pct"/>
            <w:tcBorders>
              <w:top w:val="single" w:color="auto" w:sz="4" w:space="0"/>
              <w:left w:val="nil"/>
              <w:bottom w:val="single" w:color="auto" w:sz="4" w:space="0"/>
              <w:right w:val="single" w:color="auto" w:sz="4" w:space="0"/>
            </w:tcBorders>
            <w:noWrap/>
            <w:vAlign w:val="center"/>
          </w:tcPr>
          <w:p>
            <w:pPr>
              <w:widowControl w:val="0"/>
              <w:spacing w:line="360" w:lineRule="auto"/>
              <w:contextualSpacing/>
              <w:jc w:val="both"/>
              <w:rPr>
                <w:rFonts w:cs="Times New Roman"/>
                <w:kern w:val="2"/>
                <w:sz w:val="21"/>
                <w:szCs w:val="21"/>
              </w:rPr>
            </w:pPr>
            <w:r>
              <w:rPr>
                <w:rFonts w:hint="eastAsia" w:cs="Times New Roman"/>
                <w:kern w:val="2"/>
                <w:sz w:val="21"/>
                <w:szCs w:val="21"/>
              </w:rPr>
              <w:t>根据移动网络需求建设配套通信接入机房</w:t>
            </w:r>
          </w:p>
        </w:tc>
      </w:tr>
    </w:tbl>
    <w:p>
      <w:pPr>
        <w:widowControl w:val="0"/>
        <w:spacing w:line="360" w:lineRule="auto"/>
        <w:contextualSpacing/>
        <w:jc w:val="both"/>
        <w:rPr>
          <w:rFonts w:ascii="Times New Roman" w:hAnsi="Times New Roman" w:eastAsia="方正仿宋_GBK" w:cs="Times New Roman"/>
          <w:kern w:val="2"/>
          <w:sz w:val="32"/>
          <w:szCs w:val="32"/>
        </w:rPr>
      </w:pPr>
    </w:p>
    <w:p>
      <w:pPr>
        <w:pStyle w:val="3"/>
      </w:pPr>
      <w:bookmarkStart w:id="19" w:name="_Toc55385998"/>
      <w:bookmarkStart w:id="20" w:name="_Toc56092691"/>
      <w:r>
        <w:rPr>
          <w:rFonts w:hint="eastAsia"/>
        </w:rPr>
        <w:t>规划依据</w:t>
      </w:r>
      <w:bookmarkEnd w:id="19"/>
      <w:bookmarkEnd w:id="20"/>
    </w:p>
    <w:p>
      <w:pPr>
        <w:pStyle w:val="7"/>
        <w:numPr>
          <w:ilvl w:val="0"/>
          <w:numId w:val="11"/>
        </w:numPr>
        <w:spacing w:line="360" w:lineRule="auto"/>
        <w:ind w:firstLineChars="0"/>
        <w:rPr>
          <w:rFonts w:ascii="宋体"/>
          <w:sz w:val="24"/>
          <w:szCs w:val="24"/>
        </w:rPr>
      </w:pPr>
      <w:r>
        <w:rPr>
          <w:rFonts w:hint="eastAsia" w:ascii="宋体" w:hAnsi="宋体"/>
          <w:sz w:val="24"/>
          <w:szCs w:val="24"/>
        </w:rPr>
        <w:t>法律法规</w:t>
      </w:r>
    </w:p>
    <w:p>
      <w:pPr>
        <w:spacing w:line="360" w:lineRule="auto"/>
        <w:ind w:left="576"/>
        <w:jc w:val="both"/>
        <w:rPr>
          <w:rFonts w:cs="Times New Roman"/>
          <w:kern w:val="2"/>
        </w:rPr>
      </w:pPr>
      <w:r>
        <w:rPr>
          <w:rFonts w:hint="eastAsia" w:cs="Times New Roman"/>
          <w:kern w:val="2"/>
        </w:rPr>
        <w:t>（</w:t>
      </w:r>
      <w:r>
        <w:rPr>
          <w:rFonts w:cs="Times New Roman"/>
          <w:kern w:val="2"/>
        </w:rPr>
        <w:t>1</w:t>
      </w:r>
      <w:r>
        <w:rPr>
          <w:rFonts w:hint="eastAsia" w:cs="Times New Roman"/>
          <w:kern w:val="2"/>
        </w:rPr>
        <w:t>）《中华人民共和国城乡规划法》（</w:t>
      </w:r>
      <w:r>
        <w:rPr>
          <w:rFonts w:cs="Times New Roman"/>
          <w:kern w:val="2"/>
        </w:rPr>
        <w:t>2015</w:t>
      </w:r>
      <w:r>
        <w:rPr>
          <w:rFonts w:hint="eastAsia" w:cs="Times New Roman"/>
          <w:kern w:val="2"/>
        </w:rPr>
        <w:t>年）</w:t>
      </w:r>
    </w:p>
    <w:p>
      <w:pPr>
        <w:spacing w:line="360" w:lineRule="auto"/>
        <w:ind w:left="576"/>
        <w:jc w:val="both"/>
        <w:rPr>
          <w:rFonts w:cs="Times New Roman"/>
          <w:kern w:val="2"/>
        </w:rPr>
      </w:pPr>
      <w:r>
        <w:rPr>
          <w:rFonts w:hint="eastAsia" w:cs="Times New Roman"/>
          <w:kern w:val="2"/>
        </w:rPr>
        <w:t>（</w:t>
      </w:r>
      <w:r>
        <w:rPr>
          <w:rFonts w:cs="Times New Roman"/>
          <w:kern w:val="2"/>
        </w:rPr>
        <w:t>2</w:t>
      </w:r>
      <w:r>
        <w:rPr>
          <w:rFonts w:hint="eastAsia" w:cs="Times New Roman"/>
          <w:kern w:val="2"/>
        </w:rPr>
        <w:t>）《城市规划编制办法实施细则》（</w:t>
      </w:r>
      <w:r>
        <w:rPr>
          <w:rFonts w:cs="Times New Roman"/>
          <w:kern w:val="2"/>
        </w:rPr>
        <w:t>2006</w:t>
      </w:r>
      <w:r>
        <w:rPr>
          <w:rFonts w:hint="eastAsia" w:cs="Times New Roman"/>
          <w:kern w:val="2"/>
        </w:rPr>
        <w:t>年）</w:t>
      </w:r>
    </w:p>
    <w:p>
      <w:pPr>
        <w:spacing w:line="360" w:lineRule="auto"/>
        <w:ind w:left="576"/>
        <w:jc w:val="both"/>
        <w:rPr>
          <w:rFonts w:cs="Times New Roman"/>
          <w:kern w:val="2"/>
        </w:rPr>
      </w:pPr>
      <w:r>
        <w:rPr>
          <w:rFonts w:hint="eastAsia" w:cs="Times New Roman"/>
          <w:kern w:val="2"/>
        </w:rPr>
        <w:t>（</w:t>
      </w:r>
      <w:r>
        <w:rPr>
          <w:rFonts w:cs="Times New Roman"/>
          <w:kern w:val="2"/>
        </w:rPr>
        <w:t>3</w:t>
      </w:r>
      <w:r>
        <w:rPr>
          <w:rFonts w:hint="eastAsia" w:cs="Times New Roman"/>
          <w:kern w:val="2"/>
        </w:rPr>
        <w:t>）《重庆市城乡规划条例》（</w:t>
      </w:r>
      <w:r>
        <w:rPr>
          <w:rFonts w:cs="Times New Roman"/>
          <w:kern w:val="2"/>
        </w:rPr>
        <w:t>2017</w:t>
      </w:r>
      <w:r>
        <w:rPr>
          <w:rFonts w:hint="eastAsia" w:cs="Times New Roman"/>
          <w:kern w:val="2"/>
        </w:rPr>
        <w:t>年）</w:t>
      </w:r>
    </w:p>
    <w:p>
      <w:pPr>
        <w:spacing w:line="360" w:lineRule="auto"/>
        <w:ind w:left="576"/>
        <w:jc w:val="both"/>
        <w:rPr>
          <w:rFonts w:cs="Times New Roman"/>
          <w:kern w:val="2"/>
        </w:rPr>
      </w:pPr>
      <w:r>
        <w:rPr>
          <w:rFonts w:hint="eastAsia" w:cs="Times New Roman"/>
          <w:kern w:val="2"/>
        </w:rPr>
        <w:t>（</w:t>
      </w:r>
      <w:r>
        <w:rPr>
          <w:rFonts w:cs="Times New Roman"/>
          <w:kern w:val="2"/>
        </w:rPr>
        <w:t>4</w:t>
      </w:r>
      <w:r>
        <w:rPr>
          <w:rFonts w:hint="eastAsia" w:cs="Times New Roman"/>
          <w:kern w:val="2"/>
        </w:rPr>
        <w:t>）《电信建设管理办法》</w:t>
      </w:r>
      <w:r>
        <w:rPr>
          <w:rFonts w:cs="Times New Roman"/>
          <w:kern w:val="2"/>
        </w:rPr>
        <w:t>(2002</w:t>
      </w:r>
      <w:r>
        <w:rPr>
          <w:rFonts w:hint="eastAsia" w:cs="Times New Roman"/>
          <w:kern w:val="2"/>
        </w:rPr>
        <w:t>年</w:t>
      </w:r>
      <w:r>
        <w:rPr>
          <w:rFonts w:cs="Times New Roman"/>
          <w:kern w:val="2"/>
        </w:rPr>
        <w:t>)</w:t>
      </w:r>
    </w:p>
    <w:p>
      <w:pPr>
        <w:pStyle w:val="7"/>
        <w:numPr>
          <w:ilvl w:val="0"/>
          <w:numId w:val="11"/>
        </w:numPr>
        <w:spacing w:line="360" w:lineRule="auto"/>
        <w:ind w:firstLineChars="0"/>
        <w:contextualSpacing/>
        <w:rPr>
          <w:rFonts w:ascii="宋体"/>
          <w:sz w:val="24"/>
          <w:szCs w:val="24"/>
        </w:rPr>
      </w:pPr>
      <w:r>
        <w:rPr>
          <w:rFonts w:hint="eastAsia" w:ascii="宋体" w:hAnsi="宋体"/>
          <w:sz w:val="24"/>
          <w:szCs w:val="24"/>
        </w:rPr>
        <w:t>政府发文</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w:t>
      </w:r>
      <w:r>
        <w:rPr>
          <w:rFonts w:hint="eastAsia" w:cs="Times New Roman"/>
          <w:kern w:val="2"/>
        </w:rPr>
        <w:t>）《国务院关于印发“十三五”国家信息化规划的通知》（国发〔</w:t>
      </w:r>
      <w:r>
        <w:rPr>
          <w:rFonts w:cs="Times New Roman"/>
          <w:kern w:val="2"/>
        </w:rPr>
        <w:t>2016</w:t>
      </w:r>
      <w:r>
        <w:rPr>
          <w:rFonts w:hint="eastAsia" w:cs="Times New Roman"/>
          <w:kern w:val="2"/>
        </w:rPr>
        <w:t>〕</w:t>
      </w:r>
      <w:r>
        <w:rPr>
          <w:rFonts w:cs="Times New Roman"/>
          <w:kern w:val="2"/>
        </w:rPr>
        <w:t>73</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2</w:t>
      </w:r>
      <w:r>
        <w:rPr>
          <w:rFonts w:hint="eastAsia" w:cs="Times New Roman"/>
          <w:kern w:val="2"/>
        </w:rPr>
        <w:t>）《重庆市人民政府关于印发重庆市“十三五”信息化规划的通知》（渝府发〔</w:t>
      </w:r>
      <w:r>
        <w:rPr>
          <w:rFonts w:cs="Times New Roman"/>
          <w:kern w:val="2"/>
        </w:rPr>
        <w:t>2017</w:t>
      </w:r>
      <w:r>
        <w:rPr>
          <w:rFonts w:hint="eastAsia" w:cs="Times New Roman"/>
          <w:kern w:val="2"/>
        </w:rPr>
        <w:t>〕</w:t>
      </w:r>
      <w:r>
        <w:rPr>
          <w:rFonts w:cs="Times New Roman"/>
          <w:kern w:val="2"/>
        </w:rPr>
        <w:t>32</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3</w:t>
      </w:r>
      <w:r>
        <w:rPr>
          <w:rFonts w:hint="eastAsia" w:cs="Times New Roman"/>
          <w:kern w:val="2"/>
        </w:rPr>
        <w:t>）《国务院关于加强城市基础设施建设的意见》（国发〔</w:t>
      </w:r>
      <w:r>
        <w:rPr>
          <w:rFonts w:cs="Times New Roman"/>
          <w:kern w:val="2"/>
        </w:rPr>
        <w:t>2013</w:t>
      </w:r>
      <w:r>
        <w:rPr>
          <w:rFonts w:hint="eastAsia" w:cs="Times New Roman"/>
          <w:kern w:val="2"/>
        </w:rPr>
        <w:t>〕</w:t>
      </w:r>
      <w:r>
        <w:rPr>
          <w:rFonts w:cs="Times New Roman"/>
          <w:kern w:val="2"/>
        </w:rPr>
        <w:t>36</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4</w:t>
      </w:r>
      <w:r>
        <w:rPr>
          <w:rFonts w:hint="eastAsia" w:cs="Times New Roman"/>
          <w:kern w:val="2"/>
        </w:rPr>
        <w:t>）《工业和信息化部国务院国有资产监督管理委员会关于推进电信基础设施共建共享支撑</w:t>
      </w:r>
      <w:r>
        <w:rPr>
          <w:rFonts w:cs="Times New Roman"/>
          <w:kern w:val="2"/>
        </w:rPr>
        <w:t>5G</w:t>
      </w:r>
      <w:r>
        <w:rPr>
          <w:rFonts w:hint="eastAsia" w:cs="Times New Roman"/>
          <w:kern w:val="2"/>
        </w:rPr>
        <w:t>网络加快建设发展的实施意见》（工信部联通信〔</w:t>
      </w:r>
      <w:r>
        <w:rPr>
          <w:rFonts w:cs="Times New Roman"/>
          <w:kern w:val="2"/>
        </w:rPr>
        <w:t>2020</w:t>
      </w:r>
      <w:r>
        <w:rPr>
          <w:rFonts w:hint="eastAsia" w:cs="Times New Roman"/>
          <w:kern w:val="2"/>
        </w:rPr>
        <w:t>〕</w:t>
      </w:r>
      <w:r>
        <w:rPr>
          <w:rFonts w:cs="Times New Roman"/>
          <w:kern w:val="2"/>
        </w:rPr>
        <w:t>78</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5</w:t>
      </w:r>
      <w:r>
        <w:rPr>
          <w:rFonts w:hint="eastAsia" w:cs="Times New Roman"/>
          <w:kern w:val="2"/>
        </w:rPr>
        <w:t>）《国务院关于积极推进“互联网</w:t>
      </w:r>
      <w:r>
        <w:rPr>
          <w:rFonts w:cs="Times New Roman"/>
          <w:kern w:val="2"/>
        </w:rPr>
        <w:t>+</w:t>
      </w:r>
      <w:r>
        <w:rPr>
          <w:rFonts w:hint="eastAsia" w:cs="Times New Roman"/>
          <w:kern w:val="2"/>
        </w:rPr>
        <w:t>”行动的指导意见》（国发〔</w:t>
      </w:r>
      <w:r>
        <w:rPr>
          <w:rFonts w:cs="Times New Roman"/>
          <w:kern w:val="2"/>
        </w:rPr>
        <w:t>2015</w:t>
      </w:r>
      <w:r>
        <w:rPr>
          <w:rFonts w:hint="eastAsia" w:cs="Times New Roman"/>
          <w:kern w:val="2"/>
        </w:rPr>
        <w:t>〕</w:t>
      </w:r>
      <w:r>
        <w:rPr>
          <w:rFonts w:cs="Times New Roman"/>
          <w:kern w:val="2"/>
        </w:rPr>
        <w:t>40</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6</w:t>
      </w:r>
      <w:r>
        <w:rPr>
          <w:rFonts w:hint="eastAsia" w:cs="Times New Roman"/>
          <w:kern w:val="2"/>
        </w:rPr>
        <w:t>）《国务院办公厅关于加快高速宽带网络建设推进网络提速降费的指导意见》（国办发〔</w:t>
      </w:r>
      <w:r>
        <w:rPr>
          <w:rFonts w:cs="Times New Roman"/>
          <w:kern w:val="2"/>
        </w:rPr>
        <w:t>2015</w:t>
      </w:r>
      <w:r>
        <w:rPr>
          <w:rFonts w:hint="eastAsia" w:cs="Times New Roman"/>
          <w:kern w:val="2"/>
        </w:rPr>
        <w:t>〕</w:t>
      </w:r>
      <w:r>
        <w:rPr>
          <w:rFonts w:cs="Times New Roman"/>
          <w:kern w:val="2"/>
        </w:rPr>
        <w:t>41</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7</w:t>
      </w:r>
      <w:r>
        <w:rPr>
          <w:rFonts w:hint="eastAsia" w:cs="Times New Roman"/>
          <w:kern w:val="2"/>
        </w:rPr>
        <w:t>）《工信部、国土资源部、住房城乡建设部关于加强移动通信铁塔站址用地及规划管理的通知》（〔</w:t>
      </w:r>
      <w:r>
        <w:rPr>
          <w:rFonts w:cs="Times New Roman"/>
          <w:kern w:val="2"/>
        </w:rPr>
        <w:t>2017</w:t>
      </w:r>
      <w:r>
        <w:rPr>
          <w:rFonts w:hint="eastAsia" w:cs="Times New Roman"/>
          <w:kern w:val="2"/>
        </w:rPr>
        <w:t>〕</w:t>
      </w:r>
      <w:r>
        <w:rPr>
          <w:rFonts w:cs="Times New Roman"/>
          <w:kern w:val="2"/>
        </w:rPr>
        <w:t>234</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8</w:t>
      </w:r>
      <w:r>
        <w:rPr>
          <w:rFonts w:hint="eastAsia" w:cs="Times New Roman"/>
          <w:kern w:val="2"/>
        </w:rPr>
        <w:t>）《住房城乡建设部工业和信息化部关于加强城市通信基础设施及廊道规划的通知》（建规〔</w:t>
      </w:r>
      <w:r>
        <w:rPr>
          <w:rFonts w:cs="Times New Roman"/>
          <w:kern w:val="2"/>
        </w:rPr>
        <w:t>2015</w:t>
      </w:r>
      <w:r>
        <w:rPr>
          <w:rFonts w:hint="eastAsia" w:cs="Times New Roman"/>
          <w:kern w:val="2"/>
        </w:rPr>
        <w:t>〕</w:t>
      </w:r>
      <w:r>
        <w:rPr>
          <w:rFonts w:cs="Times New Roman"/>
          <w:kern w:val="2"/>
        </w:rPr>
        <w:t>132</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9</w:t>
      </w:r>
      <w:r>
        <w:rPr>
          <w:rFonts w:hint="eastAsia" w:cs="Times New Roman"/>
          <w:kern w:val="2"/>
        </w:rPr>
        <w:t>）《关于加强城市通信基础设施及廊道规划的通知》（建规〔</w:t>
      </w:r>
      <w:r>
        <w:rPr>
          <w:rFonts w:cs="Times New Roman"/>
          <w:kern w:val="2"/>
        </w:rPr>
        <w:t>2015</w:t>
      </w:r>
      <w:r>
        <w:rPr>
          <w:rFonts w:hint="eastAsia" w:cs="Times New Roman"/>
          <w:kern w:val="2"/>
        </w:rPr>
        <w:t>〕</w:t>
      </w:r>
      <w:r>
        <w:rPr>
          <w:rFonts w:cs="Times New Roman"/>
          <w:kern w:val="2"/>
        </w:rPr>
        <w:t>132</w:t>
      </w:r>
      <w:r>
        <w:rPr>
          <w:rFonts w:hint="eastAsia" w:cs="Times New Roman"/>
          <w:kern w:val="2"/>
        </w:rPr>
        <w:t>号）</w:t>
      </w:r>
    </w:p>
    <w:p>
      <w:pPr>
        <w:spacing w:line="360" w:lineRule="auto"/>
        <w:ind w:firstLine="640"/>
        <w:contextualSpacing/>
        <w:rPr>
          <w:rFonts w:cs="Times New Roman"/>
          <w:kern w:val="2"/>
        </w:rPr>
      </w:pPr>
      <w:r>
        <w:rPr>
          <w:rFonts w:hint="eastAsia" w:cs="Times New Roman"/>
          <w:kern w:val="2"/>
        </w:rPr>
        <w:t>（</w:t>
      </w:r>
      <w:r>
        <w:rPr>
          <w:rFonts w:cs="Times New Roman"/>
          <w:kern w:val="2"/>
        </w:rPr>
        <w:t>10</w:t>
      </w:r>
      <w:r>
        <w:rPr>
          <w:rFonts w:hint="eastAsia" w:cs="Times New Roman"/>
          <w:kern w:val="2"/>
        </w:rPr>
        <w:t>）《重庆市人民政府办公厅关于印发重庆市法定城乡规划全覆盖工作计划的通知》（渝府办发〔</w:t>
      </w:r>
      <w:r>
        <w:rPr>
          <w:rFonts w:cs="Times New Roman"/>
          <w:kern w:val="2"/>
        </w:rPr>
        <w:t>2014</w:t>
      </w:r>
      <w:r>
        <w:rPr>
          <w:rFonts w:hint="eastAsia" w:cs="Times New Roman"/>
          <w:kern w:val="2"/>
        </w:rPr>
        <w:t>〕</w:t>
      </w:r>
      <w:r>
        <w:rPr>
          <w:rFonts w:cs="Times New Roman"/>
          <w:kern w:val="2"/>
        </w:rPr>
        <w:t>70</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11</w:t>
      </w:r>
      <w:r>
        <w:rPr>
          <w:rFonts w:hint="eastAsia" w:cs="Times New Roman"/>
          <w:kern w:val="2"/>
        </w:rPr>
        <w:t>）《重庆市电信设施建设与保护办法》（重庆市人民政府令第</w:t>
      </w:r>
      <w:r>
        <w:rPr>
          <w:rFonts w:cs="Times New Roman"/>
          <w:kern w:val="2"/>
        </w:rPr>
        <w:t>302</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12</w:t>
      </w:r>
      <w:r>
        <w:rPr>
          <w:rFonts w:hint="eastAsia" w:cs="Times New Roman"/>
          <w:kern w:val="2"/>
        </w:rPr>
        <w:t>）《重庆市城市规划管理技术规定》（渝府令〔</w:t>
      </w:r>
      <w:r>
        <w:rPr>
          <w:rFonts w:cs="Times New Roman"/>
          <w:kern w:val="2"/>
        </w:rPr>
        <w:t>2016</w:t>
      </w:r>
      <w:r>
        <w:rPr>
          <w:rFonts w:hint="eastAsia" w:cs="Times New Roman"/>
          <w:kern w:val="2"/>
        </w:rPr>
        <w:t>〕第</w:t>
      </w:r>
      <w:r>
        <w:rPr>
          <w:rFonts w:cs="Times New Roman"/>
          <w:kern w:val="2"/>
        </w:rPr>
        <w:t xml:space="preserve"> 259 </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13</w:t>
      </w:r>
      <w:r>
        <w:rPr>
          <w:rFonts w:hint="eastAsia" w:cs="Times New Roman"/>
          <w:kern w:val="2"/>
        </w:rPr>
        <w:t>）《关于推进</w:t>
      </w:r>
      <w:r>
        <w:rPr>
          <w:rFonts w:cs="Times New Roman"/>
          <w:kern w:val="2"/>
        </w:rPr>
        <w:t>5G</w:t>
      </w:r>
      <w:r>
        <w:rPr>
          <w:rFonts w:hint="eastAsia" w:cs="Times New Roman"/>
          <w:kern w:val="2"/>
        </w:rPr>
        <w:t>通信网建设发展的实施意见》（渝府办发〔</w:t>
      </w:r>
      <w:r>
        <w:rPr>
          <w:rFonts w:cs="Times New Roman"/>
          <w:kern w:val="2"/>
        </w:rPr>
        <w:t>2019</w:t>
      </w:r>
      <w:r>
        <w:rPr>
          <w:rFonts w:hint="eastAsia" w:cs="Times New Roman"/>
          <w:kern w:val="2"/>
        </w:rPr>
        <w:t>〕</w:t>
      </w:r>
      <w:r>
        <w:rPr>
          <w:rFonts w:cs="Times New Roman"/>
          <w:kern w:val="2"/>
        </w:rPr>
        <w:t>4</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14</w:t>
      </w:r>
      <w:r>
        <w:rPr>
          <w:rFonts w:hint="eastAsia" w:cs="Times New Roman"/>
          <w:kern w:val="2"/>
        </w:rPr>
        <w:t>）《重庆市教育委员会关于进一步加快推进高校</w:t>
      </w:r>
      <w:r>
        <w:rPr>
          <w:rFonts w:cs="Times New Roman"/>
          <w:kern w:val="2"/>
        </w:rPr>
        <w:t>5G</w:t>
      </w:r>
      <w:r>
        <w:rPr>
          <w:rFonts w:hint="eastAsia" w:cs="Times New Roman"/>
          <w:kern w:val="2"/>
        </w:rPr>
        <w:t>网络建设的通知》（渝教科发〔</w:t>
      </w:r>
      <w:r>
        <w:rPr>
          <w:rFonts w:cs="Times New Roman"/>
          <w:kern w:val="2"/>
        </w:rPr>
        <w:t>2020</w:t>
      </w:r>
      <w:r>
        <w:rPr>
          <w:rFonts w:hint="eastAsia" w:cs="Times New Roman"/>
          <w:kern w:val="2"/>
        </w:rPr>
        <w:t>〕</w:t>
      </w:r>
      <w:r>
        <w:rPr>
          <w:rFonts w:cs="Times New Roman"/>
          <w:kern w:val="2"/>
        </w:rPr>
        <w:t>5</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15</w:t>
      </w:r>
      <w:r>
        <w:rPr>
          <w:rFonts w:hint="eastAsia" w:cs="Times New Roman"/>
          <w:kern w:val="2"/>
        </w:rPr>
        <w:t>）《关于做好重庆市</w:t>
      </w:r>
      <w:r>
        <w:rPr>
          <w:rFonts w:cs="Times New Roman"/>
          <w:kern w:val="2"/>
        </w:rPr>
        <w:t>5G</w:t>
      </w:r>
      <w:r>
        <w:rPr>
          <w:rFonts w:hint="eastAsia" w:cs="Times New Roman"/>
          <w:kern w:val="2"/>
        </w:rPr>
        <w:t>通信基础设施建设电力协作相关工作的通知》（渝通信联〔</w:t>
      </w:r>
      <w:r>
        <w:rPr>
          <w:rFonts w:cs="Times New Roman"/>
          <w:kern w:val="2"/>
        </w:rPr>
        <w:t>2019</w:t>
      </w:r>
      <w:r>
        <w:rPr>
          <w:rFonts w:hint="eastAsia" w:cs="Times New Roman"/>
          <w:kern w:val="2"/>
        </w:rPr>
        <w:t>〕</w:t>
      </w:r>
      <w:r>
        <w:rPr>
          <w:rFonts w:cs="Times New Roman"/>
          <w:kern w:val="2"/>
        </w:rPr>
        <w:t>9</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16</w:t>
      </w:r>
      <w:r>
        <w:rPr>
          <w:rFonts w:hint="eastAsia" w:cs="Times New Roman"/>
          <w:kern w:val="2"/>
        </w:rPr>
        <w:t>）《重庆市加快</w:t>
      </w:r>
      <w:r>
        <w:rPr>
          <w:rFonts w:cs="Times New Roman"/>
          <w:kern w:val="2"/>
        </w:rPr>
        <w:t>5G</w:t>
      </w:r>
      <w:r>
        <w:rPr>
          <w:rFonts w:hint="eastAsia" w:cs="Times New Roman"/>
          <w:kern w:val="2"/>
        </w:rPr>
        <w:t>发展行动计划（</w:t>
      </w:r>
      <w:r>
        <w:rPr>
          <w:rFonts w:cs="Times New Roman"/>
          <w:kern w:val="2"/>
        </w:rPr>
        <w:t>2019-2022</w:t>
      </w:r>
      <w:r>
        <w:rPr>
          <w:rFonts w:hint="eastAsia" w:cs="Times New Roman"/>
          <w:kern w:val="2"/>
        </w:rPr>
        <w:t>年</w:t>
      </w:r>
      <w:r>
        <w:rPr>
          <w:rFonts w:cs="Times New Roman"/>
          <w:kern w:val="2"/>
        </w:rPr>
        <w:t>)</w:t>
      </w:r>
      <w:r>
        <w:rPr>
          <w:rFonts w:hint="eastAsia" w:cs="Times New Roman"/>
          <w:kern w:val="2"/>
        </w:rPr>
        <w:t>的通知》（渝府发〔</w:t>
      </w:r>
      <w:r>
        <w:rPr>
          <w:rFonts w:cs="Times New Roman"/>
          <w:kern w:val="2"/>
        </w:rPr>
        <w:t>2019</w:t>
      </w:r>
      <w:r>
        <w:rPr>
          <w:rFonts w:hint="eastAsia" w:cs="Times New Roman"/>
          <w:kern w:val="2"/>
        </w:rPr>
        <w:t>〕</w:t>
      </w:r>
      <w:r>
        <w:rPr>
          <w:rFonts w:cs="Times New Roman"/>
          <w:kern w:val="2"/>
        </w:rPr>
        <w:t>34</w:t>
      </w:r>
      <w:r>
        <w:rPr>
          <w:rFonts w:hint="eastAsia" w:cs="Times New Roman"/>
          <w:kern w:val="2"/>
        </w:rPr>
        <w:t>号）</w:t>
      </w:r>
    </w:p>
    <w:p>
      <w:pPr>
        <w:spacing w:line="360" w:lineRule="auto"/>
        <w:ind w:firstLine="640"/>
        <w:contextualSpacing/>
        <w:jc w:val="both"/>
        <w:rPr>
          <w:rFonts w:cs="Times New Roman"/>
          <w:kern w:val="2"/>
        </w:rPr>
      </w:pPr>
      <w:r>
        <w:rPr>
          <w:rFonts w:hint="eastAsia" w:cs="Times New Roman"/>
          <w:kern w:val="2"/>
        </w:rPr>
        <w:t>（</w:t>
      </w:r>
      <w:r>
        <w:rPr>
          <w:rFonts w:cs="Times New Roman"/>
          <w:kern w:val="2"/>
        </w:rPr>
        <w:t>17</w:t>
      </w:r>
      <w:r>
        <w:rPr>
          <w:rFonts w:hint="eastAsia" w:cs="Times New Roman"/>
          <w:kern w:val="2"/>
        </w:rPr>
        <w:t>）《关于规范和加快物业小区</w:t>
      </w:r>
      <w:r>
        <w:rPr>
          <w:rFonts w:cs="Times New Roman"/>
          <w:kern w:val="2"/>
        </w:rPr>
        <w:t>5G</w:t>
      </w:r>
      <w:r>
        <w:rPr>
          <w:rFonts w:hint="eastAsia" w:cs="Times New Roman"/>
          <w:kern w:val="2"/>
        </w:rPr>
        <w:t>网络建设的通知》（渝府发〔</w:t>
      </w:r>
      <w:r>
        <w:rPr>
          <w:rFonts w:cs="Times New Roman"/>
          <w:kern w:val="2"/>
        </w:rPr>
        <w:t>2020</w:t>
      </w:r>
      <w:r>
        <w:rPr>
          <w:rFonts w:hint="eastAsia" w:cs="Times New Roman"/>
          <w:kern w:val="2"/>
        </w:rPr>
        <w:t>〕</w:t>
      </w:r>
      <w:r>
        <w:rPr>
          <w:rFonts w:cs="Times New Roman"/>
          <w:kern w:val="2"/>
        </w:rPr>
        <w:t>19</w:t>
      </w:r>
      <w:r>
        <w:rPr>
          <w:rFonts w:hint="eastAsia" w:cs="Times New Roman"/>
          <w:kern w:val="2"/>
        </w:rPr>
        <w:t>号）</w:t>
      </w:r>
    </w:p>
    <w:p>
      <w:pPr>
        <w:pStyle w:val="7"/>
        <w:numPr>
          <w:ilvl w:val="0"/>
          <w:numId w:val="11"/>
        </w:numPr>
        <w:spacing w:line="360" w:lineRule="auto"/>
        <w:ind w:firstLineChars="0"/>
        <w:rPr>
          <w:rFonts w:ascii="宋体"/>
          <w:sz w:val="24"/>
          <w:szCs w:val="24"/>
        </w:rPr>
      </w:pPr>
      <w:r>
        <w:rPr>
          <w:rFonts w:hint="eastAsia" w:ascii="宋体" w:hAnsi="宋体"/>
          <w:sz w:val="24"/>
          <w:szCs w:val="24"/>
        </w:rPr>
        <w:t>行业规范</w:t>
      </w:r>
    </w:p>
    <w:p>
      <w:pPr>
        <w:spacing w:line="360" w:lineRule="auto"/>
        <w:ind w:firstLine="640"/>
        <w:jc w:val="both"/>
        <w:rPr>
          <w:rFonts w:cs="Times New Roman"/>
          <w:kern w:val="2"/>
        </w:rPr>
      </w:pPr>
      <w:r>
        <w:rPr>
          <w:rFonts w:hint="eastAsia" w:cs="Times New Roman"/>
          <w:kern w:val="2"/>
        </w:rPr>
        <w:t>（</w:t>
      </w:r>
      <w:r>
        <w:rPr>
          <w:rFonts w:cs="Times New Roman"/>
          <w:kern w:val="2"/>
        </w:rPr>
        <w:t>1</w:t>
      </w:r>
      <w:r>
        <w:rPr>
          <w:rFonts w:hint="eastAsia" w:cs="Times New Roman"/>
          <w:kern w:val="2"/>
        </w:rPr>
        <w:t>）《城市通信工程规划规范》（</w:t>
      </w:r>
      <w:r>
        <w:rPr>
          <w:rFonts w:cs="Times New Roman"/>
          <w:kern w:val="2"/>
        </w:rPr>
        <w:t>GB/T 50853-2013</w:t>
      </w:r>
      <w:r>
        <w:rPr>
          <w:rFonts w:hint="eastAsia" w:cs="Times New Roman"/>
          <w:kern w:val="2"/>
        </w:rPr>
        <w:t>）</w:t>
      </w:r>
    </w:p>
    <w:p>
      <w:pPr>
        <w:spacing w:line="360" w:lineRule="auto"/>
        <w:ind w:firstLine="640"/>
        <w:jc w:val="both"/>
        <w:rPr>
          <w:rFonts w:cs="Times New Roman"/>
          <w:kern w:val="2"/>
        </w:rPr>
      </w:pPr>
      <w:r>
        <w:rPr>
          <w:rFonts w:hint="eastAsia" w:cs="Times New Roman"/>
          <w:kern w:val="2"/>
        </w:rPr>
        <w:t>（</w:t>
      </w:r>
      <w:r>
        <w:rPr>
          <w:rFonts w:cs="Times New Roman"/>
          <w:kern w:val="2"/>
        </w:rPr>
        <w:t>2</w:t>
      </w:r>
      <w:r>
        <w:rPr>
          <w:rFonts w:hint="eastAsia" w:cs="Times New Roman"/>
          <w:kern w:val="2"/>
        </w:rPr>
        <w:t>）《重庆市电信通信工程规划导则（试行）》</w:t>
      </w:r>
    </w:p>
    <w:p>
      <w:pPr>
        <w:spacing w:line="360" w:lineRule="auto"/>
        <w:ind w:firstLine="640"/>
        <w:jc w:val="both"/>
        <w:rPr>
          <w:rFonts w:cs="Times New Roman"/>
          <w:kern w:val="2"/>
        </w:rPr>
      </w:pPr>
      <w:r>
        <w:rPr>
          <w:rFonts w:hint="eastAsia" w:cs="Times New Roman"/>
          <w:kern w:val="2"/>
        </w:rPr>
        <w:t>（</w:t>
      </w:r>
      <w:r>
        <w:rPr>
          <w:rFonts w:cs="Times New Roman"/>
          <w:kern w:val="2"/>
        </w:rPr>
        <w:t>3</w:t>
      </w:r>
      <w:r>
        <w:rPr>
          <w:rFonts w:hint="eastAsia" w:cs="Times New Roman"/>
          <w:kern w:val="2"/>
        </w:rPr>
        <w:t>）《重庆市管线工程规划管理办法》</w:t>
      </w:r>
    </w:p>
    <w:p>
      <w:pPr>
        <w:spacing w:line="360" w:lineRule="auto"/>
        <w:ind w:firstLine="640"/>
        <w:jc w:val="both"/>
        <w:rPr>
          <w:rFonts w:cs="Times New Roman"/>
          <w:kern w:val="2"/>
        </w:rPr>
      </w:pPr>
      <w:r>
        <w:rPr>
          <w:rFonts w:hint="eastAsia" w:cs="Times New Roman"/>
          <w:kern w:val="2"/>
        </w:rPr>
        <w:t>（</w:t>
      </w:r>
      <w:r>
        <w:rPr>
          <w:rFonts w:cs="Times New Roman"/>
          <w:kern w:val="2"/>
        </w:rPr>
        <w:t>4</w:t>
      </w:r>
      <w:r>
        <w:rPr>
          <w:rFonts w:hint="eastAsia" w:cs="Times New Roman"/>
          <w:kern w:val="2"/>
        </w:rPr>
        <w:t>）《重庆市住宅建筑群电信用户驻地网建设规范》（</w:t>
      </w:r>
      <w:r>
        <w:rPr>
          <w:rFonts w:cs="Times New Roman"/>
          <w:kern w:val="2"/>
        </w:rPr>
        <w:t>DBJ50-056</w:t>
      </w:r>
      <w:r>
        <w:rPr>
          <w:rFonts w:hint="eastAsia" w:cs="Times New Roman"/>
          <w:kern w:val="2"/>
        </w:rPr>
        <w:t>－</w:t>
      </w:r>
      <w:r>
        <w:rPr>
          <w:rFonts w:cs="Times New Roman"/>
          <w:kern w:val="2"/>
        </w:rPr>
        <w:t>2011</w:t>
      </w:r>
      <w:r>
        <w:rPr>
          <w:rFonts w:hint="eastAsia" w:cs="Times New Roman"/>
          <w:kern w:val="2"/>
        </w:rPr>
        <w:t>）</w:t>
      </w:r>
    </w:p>
    <w:p>
      <w:pPr>
        <w:pStyle w:val="7"/>
        <w:numPr>
          <w:ilvl w:val="0"/>
          <w:numId w:val="11"/>
        </w:numPr>
        <w:spacing w:line="360" w:lineRule="auto"/>
        <w:ind w:firstLineChars="0"/>
        <w:rPr>
          <w:rFonts w:ascii="宋体"/>
          <w:sz w:val="24"/>
          <w:szCs w:val="24"/>
        </w:rPr>
      </w:pPr>
      <w:r>
        <w:rPr>
          <w:rFonts w:hint="eastAsia" w:ascii="宋体" w:hAnsi="宋体"/>
          <w:sz w:val="24"/>
          <w:szCs w:val="24"/>
        </w:rPr>
        <w:t>上位规划</w:t>
      </w:r>
    </w:p>
    <w:p>
      <w:pPr>
        <w:spacing w:line="360" w:lineRule="auto"/>
        <w:ind w:firstLine="640"/>
        <w:jc w:val="both"/>
        <w:rPr>
          <w:rFonts w:cs="Times New Roman"/>
          <w:kern w:val="2"/>
        </w:rPr>
      </w:pPr>
      <w:r>
        <w:rPr>
          <w:rFonts w:hint="eastAsia" w:cs="Times New Roman"/>
          <w:kern w:val="2"/>
        </w:rPr>
        <w:t>（</w:t>
      </w:r>
      <w:r>
        <w:rPr>
          <w:rFonts w:cs="Times New Roman"/>
          <w:kern w:val="2"/>
        </w:rPr>
        <w:t>1</w:t>
      </w:r>
      <w:r>
        <w:rPr>
          <w:rFonts w:hint="eastAsia" w:cs="Times New Roman"/>
          <w:kern w:val="2"/>
        </w:rPr>
        <w:t>）《重庆市城乡总体规划（</w:t>
      </w:r>
      <w:r>
        <w:rPr>
          <w:rFonts w:cs="Times New Roman"/>
          <w:kern w:val="2"/>
        </w:rPr>
        <w:t>2007-2020</w:t>
      </w:r>
      <w:r>
        <w:rPr>
          <w:rFonts w:hint="eastAsia" w:cs="Times New Roman"/>
          <w:kern w:val="2"/>
        </w:rPr>
        <w:t>年）》</w:t>
      </w:r>
    </w:p>
    <w:p>
      <w:pPr>
        <w:spacing w:line="360" w:lineRule="auto"/>
        <w:ind w:firstLine="640"/>
        <w:jc w:val="both"/>
        <w:rPr>
          <w:rFonts w:cs="Times New Roman"/>
          <w:kern w:val="2"/>
        </w:rPr>
      </w:pPr>
      <w:r>
        <w:rPr>
          <w:rFonts w:hint="eastAsia" w:cs="Times New Roman"/>
          <w:kern w:val="2"/>
        </w:rPr>
        <w:t>（</w:t>
      </w:r>
      <w:r>
        <w:rPr>
          <w:rFonts w:cs="Times New Roman"/>
          <w:kern w:val="2"/>
        </w:rPr>
        <w:t>2</w:t>
      </w:r>
      <w:r>
        <w:rPr>
          <w:rFonts w:hint="eastAsia" w:cs="Times New Roman"/>
          <w:kern w:val="2"/>
        </w:rPr>
        <w:t>）《重庆市市域通信设施及廊道规划（</w:t>
      </w:r>
      <w:r>
        <w:rPr>
          <w:rFonts w:cs="Times New Roman"/>
          <w:kern w:val="2"/>
        </w:rPr>
        <w:t>2015-2020</w:t>
      </w:r>
      <w:r>
        <w:rPr>
          <w:rFonts w:hint="eastAsia" w:cs="Times New Roman"/>
          <w:kern w:val="2"/>
        </w:rPr>
        <w:t>）》</w:t>
      </w:r>
    </w:p>
    <w:p>
      <w:pPr>
        <w:spacing w:line="360" w:lineRule="auto"/>
        <w:ind w:firstLine="640"/>
        <w:jc w:val="both"/>
        <w:rPr>
          <w:rFonts w:cs="Times New Roman"/>
          <w:kern w:val="2"/>
        </w:rPr>
      </w:pPr>
      <w:r>
        <w:rPr>
          <w:rFonts w:hint="eastAsia" w:cs="Times New Roman"/>
          <w:kern w:val="2"/>
        </w:rPr>
        <w:t>（</w:t>
      </w:r>
      <w:r>
        <w:rPr>
          <w:rFonts w:cs="Times New Roman"/>
          <w:kern w:val="2"/>
        </w:rPr>
        <w:t>3</w:t>
      </w:r>
      <w:r>
        <w:rPr>
          <w:rFonts w:hint="eastAsia" w:cs="Times New Roman"/>
          <w:kern w:val="2"/>
        </w:rPr>
        <w:t>）《重庆市国民经济和社会发展第十三个五年规划纲要》；</w:t>
      </w:r>
    </w:p>
    <w:p>
      <w:pPr>
        <w:spacing w:line="360" w:lineRule="auto"/>
        <w:ind w:firstLine="640"/>
        <w:jc w:val="both"/>
        <w:rPr>
          <w:rFonts w:cs="Times New Roman"/>
          <w:kern w:val="2"/>
        </w:rPr>
      </w:pPr>
      <w:r>
        <w:rPr>
          <w:rFonts w:hint="eastAsia" w:cs="Times New Roman"/>
          <w:kern w:val="2"/>
        </w:rPr>
        <w:t>（</w:t>
      </w:r>
      <w:r>
        <w:rPr>
          <w:rFonts w:cs="Times New Roman"/>
          <w:kern w:val="2"/>
        </w:rPr>
        <w:t>4</w:t>
      </w:r>
      <w:r>
        <w:rPr>
          <w:rFonts w:hint="eastAsia" w:cs="Times New Roman"/>
          <w:kern w:val="2"/>
        </w:rPr>
        <w:t>）《重庆市梁平区城乡总体规划（</w:t>
      </w:r>
      <w:r>
        <w:rPr>
          <w:rFonts w:cs="Times New Roman"/>
          <w:kern w:val="2"/>
        </w:rPr>
        <w:t>2015-2035</w:t>
      </w:r>
      <w:r>
        <w:rPr>
          <w:rFonts w:hint="eastAsia" w:cs="Times New Roman"/>
          <w:kern w:val="2"/>
        </w:rPr>
        <w:t>年）》</w:t>
      </w:r>
    </w:p>
    <w:p>
      <w:pPr>
        <w:pStyle w:val="7"/>
        <w:numPr>
          <w:ilvl w:val="0"/>
          <w:numId w:val="11"/>
        </w:numPr>
        <w:spacing w:line="360" w:lineRule="auto"/>
        <w:ind w:firstLineChars="0"/>
        <w:rPr>
          <w:rFonts w:ascii="宋体"/>
          <w:sz w:val="24"/>
          <w:szCs w:val="24"/>
        </w:rPr>
      </w:pPr>
      <w:r>
        <w:rPr>
          <w:rFonts w:hint="eastAsia" w:ascii="宋体" w:hAnsi="宋体"/>
          <w:sz w:val="24"/>
          <w:szCs w:val="24"/>
        </w:rPr>
        <w:t>技术规范</w:t>
      </w:r>
    </w:p>
    <w:p>
      <w:pPr>
        <w:spacing w:line="360" w:lineRule="auto"/>
        <w:ind w:firstLine="640"/>
        <w:jc w:val="both"/>
        <w:rPr>
          <w:rFonts w:cs="Times New Roman"/>
          <w:kern w:val="2"/>
        </w:rPr>
      </w:pPr>
      <w:r>
        <w:rPr>
          <w:rFonts w:hint="eastAsia" w:cs="Times New Roman"/>
          <w:kern w:val="2"/>
        </w:rPr>
        <w:t>（</w:t>
      </w:r>
      <w:r>
        <w:rPr>
          <w:rFonts w:cs="Times New Roman"/>
          <w:kern w:val="2"/>
        </w:rPr>
        <w:t>1</w:t>
      </w:r>
      <w:r>
        <w:rPr>
          <w:rFonts w:hint="eastAsia" w:cs="Times New Roman"/>
          <w:kern w:val="2"/>
        </w:rPr>
        <w:t>）《移动通信室内信号分布系统天线技术条件》（</w:t>
      </w:r>
      <w:r>
        <w:rPr>
          <w:rFonts w:cs="Times New Roman"/>
          <w:kern w:val="2"/>
        </w:rPr>
        <w:t>GB/T 21195-2007</w:t>
      </w:r>
      <w:r>
        <w:rPr>
          <w:rFonts w:hint="eastAsia" w:cs="Times New Roman"/>
          <w:kern w:val="2"/>
        </w:rPr>
        <w:t>）</w:t>
      </w:r>
    </w:p>
    <w:p>
      <w:pPr>
        <w:spacing w:line="360" w:lineRule="auto"/>
        <w:ind w:firstLine="640"/>
        <w:jc w:val="both"/>
        <w:rPr>
          <w:rFonts w:cs="Times New Roman"/>
          <w:kern w:val="2"/>
        </w:rPr>
      </w:pPr>
      <w:r>
        <w:rPr>
          <w:rFonts w:hint="eastAsia" w:cs="Times New Roman"/>
          <w:kern w:val="2"/>
        </w:rPr>
        <w:t>（</w:t>
      </w:r>
      <w:r>
        <w:rPr>
          <w:rFonts w:cs="Times New Roman"/>
          <w:kern w:val="2"/>
        </w:rPr>
        <w:t>2</w:t>
      </w:r>
      <w:r>
        <w:rPr>
          <w:rFonts w:hint="eastAsia" w:cs="Times New Roman"/>
          <w:kern w:val="2"/>
        </w:rPr>
        <w:t>）《电信专用房屋设计规范》</w:t>
      </w:r>
      <w:r>
        <w:rPr>
          <w:rFonts w:cs="Times New Roman"/>
          <w:kern w:val="2"/>
        </w:rPr>
        <w:t>(YD/T 5003-2014)</w:t>
      </w:r>
    </w:p>
    <w:p>
      <w:pPr>
        <w:spacing w:line="360" w:lineRule="auto"/>
        <w:ind w:firstLine="640"/>
        <w:jc w:val="both"/>
        <w:rPr>
          <w:rFonts w:cs="Times New Roman"/>
          <w:kern w:val="2"/>
        </w:rPr>
      </w:pPr>
      <w:r>
        <w:rPr>
          <w:rFonts w:hint="eastAsia" w:cs="Times New Roman"/>
          <w:kern w:val="2"/>
        </w:rPr>
        <w:t>（</w:t>
      </w:r>
      <w:r>
        <w:rPr>
          <w:rFonts w:cs="Times New Roman"/>
          <w:kern w:val="2"/>
        </w:rPr>
        <w:t>3</w:t>
      </w:r>
      <w:r>
        <w:rPr>
          <w:rFonts w:hint="eastAsia" w:cs="Times New Roman"/>
          <w:kern w:val="2"/>
        </w:rPr>
        <w:t>）《电磁环境控制限值》（</w:t>
      </w:r>
      <w:r>
        <w:rPr>
          <w:rFonts w:cs="Times New Roman"/>
          <w:kern w:val="2"/>
        </w:rPr>
        <w:t xml:space="preserve">GB 8702-2014 </w:t>
      </w:r>
      <w:r>
        <w:rPr>
          <w:rFonts w:hint="eastAsia" w:cs="Times New Roman"/>
          <w:kern w:val="2"/>
        </w:rPr>
        <w:t>）</w:t>
      </w:r>
    </w:p>
    <w:p>
      <w:pPr>
        <w:spacing w:line="360" w:lineRule="auto"/>
        <w:ind w:firstLine="640"/>
        <w:jc w:val="both"/>
        <w:rPr>
          <w:rFonts w:cs="Times New Roman"/>
          <w:kern w:val="2"/>
        </w:rPr>
      </w:pPr>
      <w:r>
        <w:rPr>
          <w:rFonts w:hint="eastAsia" w:cs="Times New Roman"/>
          <w:kern w:val="2"/>
        </w:rPr>
        <w:t>（</w:t>
      </w:r>
      <w:r>
        <w:rPr>
          <w:rFonts w:cs="Times New Roman"/>
          <w:kern w:val="2"/>
        </w:rPr>
        <w:t>4</w:t>
      </w:r>
      <w:r>
        <w:rPr>
          <w:rFonts w:hint="eastAsia" w:cs="Times New Roman"/>
          <w:kern w:val="2"/>
        </w:rPr>
        <w:t>）《移动通信天线通用技术规范》（</w:t>
      </w:r>
      <w:r>
        <w:rPr>
          <w:rFonts w:cs="Times New Roman"/>
          <w:kern w:val="2"/>
        </w:rPr>
        <w:t>GB/T 9410-2008</w:t>
      </w:r>
      <w:r>
        <w:rPr>
          <w:rFonts w:hint="eastAsia" w:cs="Times New Roman"/>
          <w:kern w:val="2"/>
        </w:rPr>
        <w:t>）</w:t>
      </w:r>
    </w:p>
    <w:p>
      <w:pPr>
        <w:spacing w:line="360" w:lineRule="auto"/>
        <w:ind w:firstLine="640"/>
        <w:jc w:val="both"/>
        <w:rPr>
          <w:rFonts w:ascii="Times New Roman" w:hAnsi="Times New Roman" w:eastAsia="方正仿宋_GBK" w:cs="Times New Roman"/>
          <w:kern w:val="2"/>
          <w:sz w:val="32"/>
          <w:szCs w:val="32"/>
        </w:rPr>
      </w:pPr>
      <w:r>
        <w:rPr>
          <w:rFonts w:hint="eastAsia" w:cs="Times New Roman"/>
          <w:kern w:val="2"/>
        </w:rPr>
        <w:t>（</w:t>
      </w:r>
      <w:r>
        <w:rPr>
          <w:rFonts w:cs="Times New Roman"/>
          <w:kern w:val="2"/>
        </w:rPr>
        <w:t>5</w:t>
      </w:r>
      <w:r>
        <w:rPr>
          <w:rFonts w:hint="eastAsia" w:cs="Times New Roman"/>
          <w:kern w:val="2"/>
        </w:rPr>
        <w:t>）工业和信息化部标准《</w:t>
      </w:r>
      <w:r>
        <w:rPr>
          <w:rFonts w:cs="Times New Roman"/>
          <w:kern w:val="2"/>
        </w:rPr>
        <w:t xml:space="preserve">LTE FDD </w:t>
      </w:r>
      <w:r>
        <w:rPr>
          <w:rFonts w:hint="eastAsia" w:cs="Times New Roman"/>
          <w:kern w:val="2"/>
        </w:rPr>
        <w:t>数字蜂窝移动通信网基站设备技术要求（第一阶段）》</w:t>
      </w:r>
      <w:r>
        <w:rPr>
          <w:rFonts w:cs="Times New Roman"/>
          <w:kern w:val="2"/>
        </w:rPr>
        <w:t>(YD/T0373-2012)</w:t>
      </w:r>
      <w:r>
        <w:rPr>
          <w:rFonts w:hint="eastAsia" w:cs="Times New Roman"/>
          <w:kern w:val="2"/>
        </w:rPr>
        <w:t>等其他共计</w:t>
      </w:r>
      <w:r>
        <w:rPr>
          <w:rFonts w:cs="Times New Roman"/>
          <w:kern w:val="2"/>
        </w:rPr>
        <w:t>13</w:t>
      </w:r>
      <w:r>
        <w:rPr>
          <w:rFonts w:hint="eastAsia" w:cs="Times New Roman"/>
          <w:kern w:val="2"/>
        </w:rPr>
        <w:t>项相关技术规范。</w:t>
      </w:r>
    </w:p>
    <w:p>
      <w:pPr>
        <w:pStyle w:val="3"/>
      </w:pPr>
      <w:bookmarkStart w:id="21" w:name="_Toc55385999"/>
      <w:bookmarkStart w:id="22" w:name="_Toc56092692"/>
      <w:r>
        <w:rPr>
          <w:rFonts w:hint="eastAsia"/>
        </w:rPr>
        <w:t>规划原则</w:t>
      </w:r>
      <w:bookmarkEnd w:id="21"/>
      <w:bookmarkEnd w:id="22"/>
    </w:p>
    <w:p>
      <w:pPr>
        <w:pStyle w:val="7"/>
        <w:numPr>
          <w:ilvl w:val="0"/>
          <w:numId w:val="12"/>
        </w:numPr>
        <w:spacing w:line="360" w:lineRule="auto"/>
        <w:ind w:firstLineChars="0"/>
        <w:rPr>
          <w:rFonts w:ascii="宋体"/>
          <w:sz w:val="24"/>
          <w:szCs w:val="24"/>
        </w:rPr>
      </w:pPr>
      <w:r>
        <w:rPr>
          <w:rFonts w:hint="eastAsia" w:ascii="宋体" w:hAnsi="宋体"/>
          <w:sz w:val="24"/>
          <w:szCs w:val="24"/>
        </w:rPr>
        <w:t>统筹需求，统一规划</w:t>
      </w:r>
    </w:p>
    <w:p>
      <w:pPr>
        <w:spacing w:line="360" w:lineRule="auto"/>
        <w:ind w:firstLine="480" w:firstLineChars="200"/>
        <w:jc w:val="both"/>
        <w:rPr>
          <w:rFonts w:cs="Times New Roman"/>
          <w:kern w:val="2"/>
        </w:rPr>
      </w:pPr>
      <w:r>
        <w:rPr>
          <w:rFonts w:hint="eastAsia" w:cs="Times New Roman"/>
          <w:kern w:val="2"/>
        </w:rPr>
        <w:t>本次规划充分对接云计算、大数据、物联网等新兴产业，推进梁平区智慧城市的建设，统筹宽带网络、移动网络深度覆盖、“三网融合”等需求，对</w:t>
      </w:r>
      <w:r>
        <w:rPr>
          <w:rFonts w:cs="Times New Roman"/>
          <w:kern w:val="2"/>
        </w:rPr>
        <w:t>5G</w:t>
      </w:r>
      <w:r>
        <w:rPr>
          <w:rFonts w:hint="eastAsia" w:cs="Times New Roman"/>
          <w:kern w:val="2"/>
        </w:rPr>
        <w:t>通信基站、</w:t>
      </w:r>
      <w:r>
        <w:rPr>
          <w:rFonts w:cs="Times New Roman"/>
          <w:kern w:val="2"/>
        </w:rPr>
        <w:t>5G</w:t>
      </w:r>
      <w:r>
        <w:rPr>
          <w:rFonts w:hint="eastAsia" w:cs="Times New Roman"/>
          <w:kern w:val="2"/>
        </w:rPr>
        <w:t>综合接入机房进行统一规划。</w:t>
      </w:r>
    </w:p>
    <w:p>
      <w:pPr>
        <w:pStyle w:val="7"/>
        <w:numPr>
          <w:ilvl w:val="0"/>
          <w:numId w:val="12"/>
        </w:numPr>
        <w:spacing w:line="360" w:lineRule="auto"/>
        <w:ind w:firstLineChars="0"/>
        <w:rPr>
          <w:rFonts w:ascii="宋体"/>
          <w:sz w:val="24"/>
          <w:szCs w:val="24"/>
        </w:rPr>
      </w:pPr>
      <w:r>
        <w:rPr>
          <w:rFonts w:hint="eastAsia" w:ascii="宋体" w:hAnsi="宋体"/>
          <w:sz w:val="24"/>
          <w:szCs w:val="24"/>
        </w:rPr>
        <w:t>科学规划，合理布局</w:t>
      </w:r>
    </w:p>
    <w:p>
      <w:pPr>
        <w:spacing w:line="360" w:lineRule="auto"/>
        <w:ind w:firstLine="480" w:firstLineChars="200"/>
        <w:jc w:val="both"/>
        <w:rPr>
          <w:rFonts w:cs="Times New Roman"/>
          <w:kern w:val="2"/>
        </w:rPr>
      </w:pPr>
      <w:r>
        <w:rPr>
          <w:rFonts w:hint="eastAsia" w:cs="Times New Roman"/>
          <w:kern w:val="2"/>
        </w:rPr>
        <w:t>本次规划以城市总体规划、通信行业发展规划和有关技术标准为依据，精确计算梁平各类场景</w:t>
      </w:r>
      <w:r>
        <w:rPr>
          <w:rFonts w:cs="Times New Roman"/>
          <w:kern w:val="2"/>
        </w:rPr>
        <w:t>5G</w:t>
      </w:r>
      <w:r>
        <w:rPr>
          <w:rFonts w:hint="eastAsia" w:cs="Times New Roman"/>
          <w:kern w:val="2"/>
        </w:rPr>
        <w:t>站间距，结合北京、上海等大城市</w:t>
      </w:r>
      <w:r>
        <w:rPr>
          <w:rFonts w:cs="Times New Roman"/>
          <w:kern w:val="2"/>
        </w:rPr>
        <w:t>5G</w:t>
      </w:r>
      <w:r>
        <w:rPr>
          <w:rFonts w:hint="eastAsia" w:cs="Times New Roman"/>
          <w:kern w:val="2"/>
        </w:rPr>
        <w:t>建设经验，并根据城市发展布局、人口分布和信息化发展规划等，合理布局</w:t>
      </w:r>
      <w:r>
        <w:rPr>
          <w:rFonts w:cs="Times New Roman"/>
          <w:kern w:val="2"/>
        </w:rPr>
        <w:t>5G</w:t>
      </w:r>
      <w:r>
        <w:rPr>
          <w:rFonts w:hint="eastAsia" w:cs="Times New Roman"/>
          <w:kern w:val="2"/>
        </w:rPr>
        <w:t>通信基站、</w:t>
      </w:r>
      <w:r>
        <w:rPr>
          <w:rFonts w:cs="Times New Roman"/>
          <w:kern w:val="2"/>
        </w:rPr>
        <w:t>5G</w:t>
      </w:r>
      <w:r>
        <w:rPr>
          <w:rFonts w:hint="eastAsia" w:cs="Times New Roman"/>
          <w:kern w:val="2"/>
        </w:rPr>
        <w:t>综合接入机房等各类通信设施。</w:t>
      </w:r>
    </w:p>
    <w:p>
      <w:pPr>
        <w:pStyle w:val="7"/>
        <w:numPr>
          <w:ilvl w:val="0"/>
          <w:numId w:val="12"/>
        </w:numPr>
        <w:spacing w:line="360" w:lineRule="auto"/>
        <w:ind w:firstLineChars="0"/>
        <w:rPr>
          <w:rFonts w:ascii="宋体"/>
          <w:sz w:val="24"/>
          <w:szCs w:val="24"/>
        </w:rPr>
      </w:pPr>
      <w:r>
        <w:rPr>
          <w:rFonts w:hint="eastAsia" w:ascii="宋体" w:hAnsi="宋体"/>
          <w:sz w:val="24"/>
          <w:szCs w:val="24"/>
        </w:rPr>
        <w:t>立足本期，科学前瞻</w:t>
      </w:r>
    </w:p>
    <w:p>
      <w:pPr>
        <w:spacing w:line="360" w:lineRule="auto"/>
        <w:ind w:firstLine="480" w:firstLineChars="200"/>
        <w:jc w:val="both"/>
        <w:rPr>
          <w:rFonts w:cs="Times New Roman"/>
          <w:kern w:val="2"/>
        </w:rPr>
      </w:pPr>
      <w:r>
        <w:rPr>
          <w:rFonts w:hint="eastAsia" w:cs="Times New Roman"/>
          <w:kern w:val="2"/>
        </w:rPr>
        <w:t>本次规划以“十三五”规划期内通信发展为根本，做好城市总体规划相应的配套通信基础设施规划，为道路交通、绿地等规划提供通信需求，同时适度前瞻通信技术发展，在满足即将出台“十四五”规划准则前提下，保障当前通信基础设施建设能够可持续地满足未来通信发展需求，实现前后向兼容。</w:t>
      </w:r>
    </w:p>
    <w:p>
      <w:pPr>
        <w:pStyle w:val="7"/>
        <w:numPr>
          <w:ilvl w:val="0"/>
          <w:numId w:val="12"/>
        </w:numPr>
        <w:spacing w:line="360" w:lineRule="auto"/>
        <w:ind w:firstLineChars="0"/>
        <w:rPr>
          <w:rFonts w:ascii="宋体"/>
          <w:sz w:val="24"/>
          <w:szCs w:val="24"/>
        </w:rPr>
      </w:pPr>
      <w:r>
        <w:rPr>
          <w:rFonts w:hint="eastAsia" w:ascii="宋体" w:hAnsi="宋体"/>
          <w:sz w:val="24"/>
          <w:szCs w:val="24"/>
        </w:rPr>
        <w:t>集约建设，共享协同</w:t>
      </w:r>
    </w:p>
    <w:p>
      <w:pPr>
        <w:spacing w:line="360" w:lineRule="auto"/>
        <w:ind w:firstLine="480" w:firstLineChars="200"/>
        <w:jc w:val="both"/>
        <w:rPr>
          <w:rFonts w:cs="Times New Roman"/>
          <w:kern w:val="2"/>
        </w:rPr>
      </w:pPr>
      <w:r>
        <w:rPr>
          <w:rFonts w:hint="eastAsia" w:cs="Times New Roman"/>
          <w:kern w:val="2"/>
        </w:rPr>
        <w:t>本次规划以确保通信基础设施适应新型城镇化建设和信息通信技术发展要求为前提，大力推进集约化建设模式和升级改造，并打破行业壁垒，推进跨企业、跨部门、跨区域的通信资源共建共享和管理协同，降低社会成本。</w:t>
      </w:r>
    </w:p>
    <w:p>
      <w:pPr>
        <w:spacing w:line="360" w:lineRule="auto"/>
        <w:ind w:firstLine="480" w:firstLineChars="200"/>
        <w:jc w:val="both"/>
        <w:rPr>
          <w:rFonts w:cs="Times New Roman"/>
          <w:kern w:val="2"/>
        </w:rPr>
      </w:pPr>
      <w:r>
        <w:rPr>
          <w:rFonts w:hint="eastAsia" w:cs="Times New Roman"/>
          <w:kern w:val="2"/>
        </w:rPr>
        <w:t>本次规划《重庆市梁平区</w:t>
      </w:r>
      <w:r>
        <w:rPr>
          <w:rFonts w:cs="Times New Roman"/>
          <w:kern w:val="2"/>
        </w:rPr>
        <w:t>5G</w:t>
      </w:r>
      <w:r>
        <w:rPr>
          <w:rFonts w:hint="eastAsia" w:cs="Times New Roman"/>
          <w:kern w:val="2"/>
        </w:rPr>
        <w:t>通信基础设施规划》文件由文本、说明、图纸组成，其中规划文本和规划图纸具有法律效力。</w:t>
      </w:r>
    </w:p>
    <w:p>
      <w:pPr>
        <w:spacing w:line="360" w:lineRule="auto"/>
        <w:ind w:firstLine="480" w:firstLineChars="200"/>
        <w:jc w:val="both"/>
        <w:rPr>
          <w:rFonts w:cs="Times New Roman"/>
          <w:kern w:val="2"/>
        </w:rPr>
      </w:pPr>
      <w:r>
        <w:rPr>
          <w:rFonts w:hint="eastAsia" w:cs="Times New Roman"/>
          <w:kern w:val="2"/>
        </w:rPr>
        <w:t>凡在规划区域内开展与</w:t>
      </w:r>
      <w:r>
        <w:rPr>
          <w:rFonts w:cs="Times New Roman"/>
          <w:kern w:val="2"/>
        </w:rPr>
        <w:t>5G</w:t>
      </w:r>
      <w:r>
        <w:rPr>
          <w:rFonts w:hint="eastAsia" w:cs="Times New Roman"/>
          <w:kern w:val="2"/>
        </w:rPr>
        <w:t>通信基础设施有关的建设行为，均应执行本规划。</w:t>
      </w:r>
      <w:r>
        <w:rPr>
          <w:rFonts w:cs="Times New Roman"/>
          <w:kern w:val="2"/>
        </w:rPr>
        <w:br w:type="page"/>
      </w:r>
    </w:p>
    <w:p>
      <w:pPr>
        <w:pStyle w:val="2"/>
      </w:pPr>
      <w:bookmarkStart w:id="23" w:name="_Toc56092693"/>
      <w:bookmarkStart w:id="24" w:name="_Toc55386000"/>
      <w:bookmarkStart w:id="25" w:name="_Toc460488792"/>
      <w:r>
        <w:rPr>
          <w:rFonts w:hint="eastAsia"/>
        </w:rPr>
        <w:t>通信基础设施现状</w:t>
      </w:r>
      <w:bookmarkEnd w:id="23"/>
      <w:bookmarkEnd w:id="24"/>
      <w:bookmarkEnd w:id="25"/>
    </w:p>
    <w:p>
      <w:pPr>
        <w:pStyle w:val="3"/>
        <w:numPr>
          <w:ilvl w:val="0"/>
          <w:numId w:val="13"/>
        </w:numPr>
      </w:pPr>
      <w:bookmarkStart w:id="26" w:name="_Toc55386001"/>
      <w:bookmarkStart w:id="27" w:name="_Toc56092694"/>
      <w:r>
        <w:rPr>
          <w:rFonts w:hint="eastAsia"/>
        </w:rPr>
        <w:t>综合现状</w:t>
      </w:r>
      <w:bookmarkEnd w:id="26"/>
      <w:bookmarkEnd w:id="27"/>
    </w:p>
    <w:p>
      <w:pPr>
        <w:spacing w:line="360" w:lineRule="auto"/>
        <w:ind w:firstLine="480" w:firstLineChars="200"/>
        <w:jc w:val="both"/>
        <w:rPr>
          <w:rFonts w:cs="Times New Roman"/>
          <w:kern w:val="2"/>
        </w:rPr>
      </w:pPr>
      <w:r>
        <w:rPr>
          <w:rFonts w:hint="eastAsia" w:cs="Times New Roman"/>
          <w:kern w:val="2"/>
        </w:rPr>
        <w:t>梁平区大力推进国民经济发展和社会信息化，取得了显著成效。</w:t>
      </w:r>
    </w:p>
    <w:p>
      <w:pPr>
        <w:pStyle w:val="7"/>
        <w:numPr>
          <w:ilvl w:val="0"/>
          <w:numId w:val="14"/>
        </w:numPr>
        <w:spacing w:line="360" w:lineRule="auto"/>
        <w:ind w:firstLineChars="0"/>
        <w:rPr>
          <w:rFonts w:ascii="宋体"/>
          <w:sz w:val="24"/>
          <w:szCs w:val="24"/>
        </w:rPr>
      </w:pPr>
      <w:r>
        <w:rPr>
          <w:rFonts w:ascii="宋体" w:hAnsi="宋体"/>
          <w:sz w:val="24"/>
          <w:szCs w:val="24"/>
        </w:rPr>
        <w:t>2019</w:t>
      </w:r>
      <w:r>
        <w:rPr>
          <w:rFonts w:hint="eastAsia" w:ascii="宋体" w:hAnsi="宋体"/>
          <w:sz w:val="24"/>
          <w:szCs w:val="24"/>
        </w:rPr>
        <w:t>年，梁平区电信营业收入达</w:t>
      </w:r>
      <w:r>
        <w:rPr>
          <w:rFonts w:ascii="宋体" w:hAnsi="宋体"/>
          <w:sz w:val="24"/>
          <w:szCs w:val="24"/>
        </w:rPr>
        <w:t>2.7</w:t>
      </w:r>
      <w:r>
        <w:rPr>
          <w:rFonts w:hint="eastAsia" w:ascii="宋体" w:hAnsi="宋体"/>
          <w:sz w:val="24"/>
          <w:szCs w:val="24"/>
        </w:rPr>
        <w:t>亿元，增长</w:t>
      </w:r>
      <w:r>
        <w:rPr>
          <w:rFonts w:ascii="宋体" w:hAnsi="宋体"/>
          <w:sz w:val="24"/>
          <w:szCs w:val="24"/>
        </w:rPr>
        <w:t>16.7%</w:t>
      </w:r>
      <w:r>
        <w:rPr>
          <w:rFonts w:hint="eastAsia" w:ascii="宋体" w:hAnsi="宋体"/>
          <w:sz w:val="24"/>
          <w:szCs w:val="24"/>
        </w:rPr>
        <w:t>，成为梁平区经济发展的重要组成部分。</w:t>
      </w:r>
    </w:p>
    <w:p>
      <w:pPr>
        <w:pStyle w:val="7"/>
        <w:numPr>
          <w:ilvl w:val="0"/>
          <w:numId w:val="14"/>
        </w:numPr>
        <w:spacing w:line="360" w:lineRule="auto"/>
        <w:ind w:firstLineChars="0"/>
        <w:rPr>
          <w:rFonts w:ascii="宋体"/>
          <w:sz w:val="24"/>
          <w:szCs w:val="24"/>
        </w:rPr>
      </w:pPr>
      <w:r>
        <w:rPr>
          <w:rFonts w:hint="eastAsia" w:ascii="宋体" w:hAnsi="宋体"/>
          <w:sz w:val="24"/>
          <w:szCs w:val="24"/>
        </w:rPr>
        <w:t>截至</w:t>
      </w:r>
      <w:r>
        <w:rPr>
          <w:rFonts w:ascii="宋体" w:hAnsi="宋体"/>
          <w:sz w:val="24"/>
          <w:szCs w:val="24"/>
        </w:rPr>
        <w:t>2019</w:t>
      </w:r>
      <w:r>
        <w:rPr>
          <w:rFonts w:hint="eastAsia" w:ascii="宋体" w:hAnsi="宋体"/>
          <w:sz w:val="24"/>
          <w:szCs w:val="24"/>
        </w:rPr>
        <w:t>年，梁平区固定电话用户（移动、电信、联通）</w:t>
      </w:r>
      <w:r>
        <w:rPr>
          <w:rFonts w:ascii="宋体" w:hAnsi="宋体"/>
          <w:sz w:val="24"/>
          <w:szCs w:val="24"/>
        </w:rPr>
        <w:t>10.12</w:t>
      </w:r>
      <w:r>
        <w:rPr>
          <w:rFonts w:hint="eastAsia" w:ascii="宋体" w:hAnsi="宋体"/>
          <w:sz w:val="24"/>
          <w:szCs w:val="24"/>
        </w:rPr>
        <w:t>万户，移动电话用户（移动、电信、联通）</w:t>
      </w:r>
      <w:r>
        <w:rPr>
          <w:rFonts w:ascii="宋体" w:hAnsi="宋体"/>
          <w:sz w:val="24"/>
          <w:szCs w:val="24"/>
        </w:rPr>
        <w:t>49.24</w:t>
      </w:r>
      <w:r>
        <w:rPr>
          <w:rFonts w:hint="eastAsia" w:ascii="宋体" w:hAnsi="宋体"/>
          <w:sz w:val="24"/>
          <w:szCs w:val="24"/>
        </w:rPr>
        <w:t>万户，增长</w:t>
      </w:r>
      <w:r>
        <w:rPr>
          <w:rFonts w:ascii="宋体" w:hAnsi="宋体"/>
          <w:sz w:val="24"/>
          <w:szCs w:val="24"/>
        </w:rPr>
        <w:t>11.1%</w:t>
      </w:r>
      <w:r>
        <w:rPr>
          <w:rFonts w:hint="eastAsia" w:ascii="宋体" w:hAnsi="宋体"/>
          <w:sz w:val="24"/>
          <w:szCs w:val="24"/>
        </w:rPr>
        <w:t>，互联网用户</w:t>
      </w:r>
      <w:r>
        <w:rPr>
          <w:rFonts w:ascii="宋体" w:hAnsi="宋体"/>
          <w:sz w:val="24"/>
          <w:szCs w:val="24"/>
        </w:rPr>
        <w:t>11.96</w:t>
      </w:r>
      <w:r>
        <w:rPr>
          <w:rFonts w:hint="eastAsia" w:ascii="宋体" w:hAnsi="宋体"/>
          <w:sz w:val="24"/>
          <w:szCs w:val="24"/>
        </w:rPr>
        <w:t>万户，增长</w:t>
      </w:r>
      <w:r>
        <w:rPr>
          <w:rFonts w:ascii="宋体" w:hAnsi="宋体"/>
          <w:sz w:val="24"/>
          <w:szCs w:val="24"/>
        </w:rPr>
        <w:t>42.7%</w:t>
      </w:r>
      <w:r>
        <w:rPr>
          <w:rFonts w:hint="eastAsia" w:ascii="宋体" w:hAnsi="宋体"/>
          <w:sz w:val="24"/>
          <w:szCs w:val="24"/>
        </w:rPr>
        <w:t>。</w:t>
      </w:r>
    </w:p>
    <w:p>
      <w:pPr>
        <w:pStyle w:val="7"/>
        <w:numPr>
          <w:ilvl w:val="0"/>
          <w:numId w:val="14"/>
        </w:numPr>
        <w:spacing w:line="360" w:lineRule="auto"/>
        <w:ind w:firstLineChars="0"/>
        <w:rPr>
          <w:rFonts w:ascii="宋体"/>
        </w:rPr>
      </w:pPr>
      <w:r>
        <w:rPr>
          <w:rFonts w:hint="eastAsia" w:ascii="宋体" w:hAnsi="宋体"/>
          <w:sz w:val="24"/>
          <w:szCs w:val="24"/>
        </w:rPr>
        <w:t>截止到</w:t>
      </w:r>
      <w:r>
        <w:rPr>
          <w:rFonts w:ascii="宋体" w:hAnsi="宋体"/>
          <w:sz w:val="24"/>
          <w:szCs w:val="24"/>
        </w:rPr>
        <w:t>2019</w:t>
      </w:r>
      <w:r>
        <w:rPr>
          <w:rFonts w:hint="eastAsia" w:ascii="宋体" w:hAnsi="宋体"/>
          <w:sz w:val="24"/>
          <w:szCs w:val="24"/>
        </w:rPr>
        <w:t>年底，</w:t>
      </w:r>
      <w:r>
        <w:rPr>
          <w:rFonts w:ascii="宋体" w:hAnsi="宋体"/>
          <w:sz w:val="24"/>
          <w:szCs w:val="24"/>
        </w:rPr>
        <w:t>2019</w:t>
      </w:r>
      <w:r>
        <w:rPr>
          <w:rFonts w:hint="eastAsia" w:ascii="宋体" w:hAnsi="宋体"/>
          <w:sz w:val="24"/>
          <w:szCs w:val="24"/>
        </w:rPr>
        <w:t>年梁平区广电通信业务收入</w:t>
      </w:r>
      <w:r>
        <w:rPr>
          <w:rFonts w:ascii="宋体" w:hAnsi="宋体"/>
          <w:sz w:val="24"/>
          <w:szCs w:val="24"/>
        </w:rPr>
        <w:t>3152</w:t>
      </w:r>
      <w:r>
        <w:rPr>
          <w:rFonts w:hint="eastAsia" w:ascii="宋体" w:hAnsi="宋体"/>
          <w:sz w:val="24"/>
          <w:szCs w:val="24"/>
        </w:rPr>
        <w:t>万元，截止到</w:t>
      </w:r>
      <w:r>
        <w:rPr>
          <w:rFonts w:ascii="宋体" w:hAnsi="宋体"/>
          <w:sz w:val="24"/>
          <w:szCs w:val="24"/>
        </w:rPr>
        <w:t>2019</w:t>
      </w:r>
      <w:r>
        <w:rPr>
          <w:rFonts w:hint="eastAsia" w:ascii="宋体" w:hAnsi="宋体"/>
          <w:sz w:val="24"/>
          <w:szCs w:val="24"/>
        </w:rPr>
        <w:t>年底，广电互联网用户达</w:t>
      </w:r>
      <w:r>
        <w:rPr>
          <w:rFonts w:ascii="宋体" w:hAnsi="宋体"/>
          <w:sz w:val="24"/>
          <w:szCs w:val="24"/>
        </w:rPr>
        <w:t>11.30</w:t>
      </w:r>
      <w:r>
        <w:rPr>
          <w:rFonts w:hint="eastAsia" w:ascii="宋体" w:hAnsi="宋体"/>
          <w:sz w:val="24"/>
          <w:szCs w:val="24"/>
        </w:rPr>
        <w:t>万户。</w:t>
      </w:r>
    </w:p>
    <w:p>
      <w:pPr>
        <w:pStyle w:val="3"/>
      </w:pPr>
      <w:bookmarkStart w:id="28" w:name="_Toc55386002"/>
      <w:bookmarkStart w:id="29" w:name="_Toc56092695"/>
      <w:r>
        <w:rPr>
          <w:rFonts w:hint="eastAsia"/>
        </w:rPr>
        <w:t>通信机房现状</w:t>
      </w:r>
      <w:bookmarkEnd w:id="28"/>
      <w:bookmarkEnd w:id="29"/>
    </w:p>
    <w:p>
      <w:pPr>
        <w:spacing w:line="360" w:lineRule="auto"/>
        <w:ind w:firstLine="480" w:firstLineChars="200"/>
        <w:jc w:val="both"/>
        <w:rPr>
          <w:rFonts w:cs="Times New Roman"/>
          <w:kern w:val="2"/>
        </w:rPr>
      </w:pPr>
      <w:r>
        <w:rPr>
          <w:rFonts w:hint="eastAsia" w:cs="Times New Roman"/>
          <w:kern w:val="2"/>
        </w:rPr>
        <w:t>梁平区三家通信运营商和广电现有</w:t>
      </w:r>
      <w:r>
        <w:rPr>
          <w:rFonts w:cs="Times New Roman"/>
          <w:kern w:val="2"/>
        </w:rPr>
        <w:t>6</w:t>
      </w:r>
      <w:r>
        <w:rPr>
          <w:rFonts w:hint="eastAsia" w:cs="Times New Roman"/>
          <w:kern w:val="2"/>
        </w:rPr>
        <w:t>个核心局房，</w:t>
      </w:r>
      <w:r>
        <w:rPr>
          <w:rFonts w:cs="Times New Roman"/>
          <w:kern w:val="2"/>
        </w:rPr>
        <w:t>51</w:t>
      </w:r>
      <w:r>
        <w:rPr>
          <w:rFonts w:hint="eastAsia" w:cs="Times New Roman"/>
          <w:kern w:val="2"/>
        </w:rPr>
        <w:t>个汇聚机房，</w:t>
      </w:r>
      <w:r>
        <w:rPr>
          <w:rFonts w:cs="Times New Roman"/>
          <w:kern w:val="2"/>
        </w:rPr>
        <w:t>381</w:t>
      </w:r>
      <w:r>
        <w:rPr>
          <w:rFonts w:hint="eastAsia" w:cs="Times New Roman"/>
          <w:kern w:val="2"/>
        </w:rPr>
        <w:t>个综合接入机房，分布在梁平城区及各大乡镇，基本满足现网业务需求。</w:t>
      </w:r>
    </w:p>
    <w:p>
      <w:pPr>
        <w:pStyle w:val="3"/>
      </w:pPr>
      <w:bookmarkStart w:id="30" w:name="_Toc56092696"/>
      <w:bookmarkStart w:id="31" w:name="_Toc55386003"/>
      <w:r>
        <w:rPr>
          <w:rFonts w:hint="eastAsia"/>
        </w:rPr>
        <w:t>通信基站现状</w:t>
      </w:r>
      <w:bookmarkEnd w:id="30"/>
      <w:bookmarkEnd w:id="31"/>
      <w:r>
        <w:t xml:space="preserve">                                                                                                                                                                                                                                                                                                                                                                                                                                                                                                                                                                                                                                                                                                                                                                                                                                                                                                                                                                                                                                                                                                                                                                                                                                                                                                                                                                                                                                                                                                                                                                                                                                                                                                                                                                                                                                                                                                                                                                                                                                                                                                                                                                                                                                                                                                                                                                                                                                                                                                                                                                                                                                                                                                                                                                                                                                                                                                                                                                                                                                                                                                                                                                                                                                                                                                                                                                                                                                                                                                                                                                                                                                                                                                                                                                                                                                                                                                                                                                                                                                                                                                                                                                                                                </w:t>
      </w:r>
      <w:r>
        <w:t xml:space="preserve">                                                                                                                                                                                                                                                                                                                                                                                                                                                                                                                                                                                                                                                                 </w:t>
      </w:r>
    </w:p>
    <w:p>
      <w:pPr>
        <w:spacing w:line="360" w:lineRule="auto"/>
        <w:ind w:firstLine="480" w:firstLineChars="200"/>
        <w:jc w:val="both"/>
        <w:rPr>
          <w:rFonts w:cs="Times New Roman"/>
          <w:kern w:val="2"/>
        </w:rPr>
      </w:pPr>
      <w:r>
        <w:rPr>
          <w:rFonts w:hint="eastAsia" w:cs="Times New Roman"/>
          <w:kern w:val="2"/>
        </w:rPr>
        <w:t>梁平区现有物理基站</w:t>
      </w:r>
      <w:r>
        <w:rPr>
          <w:rFonts w:cs="Times New Roman"/>
          <w:kern w:val="2"/>
        </w:rPr>
        <w:t>1215</w:t>
      </w:r>
      <w:r>
        <w:rPr>
          <w:rFonts w:hint="eastAsia" w:cs="Times New Roman"/>
          <w:kern w:val="2"/>
        </w:rPr>
        <w:t>个，其中中心城区</w:t>
      </w:r>
      <w:r>
        <w:rPr>
          <w:rFonts w:cs="Times New Roman"/>
          <w:kern w:val="2"/>
        </w:rPr>
        <w:t>335</w:t>
      </w:r>
      <w:r>
        <w:rPr>
          <w:rFonts w:hint="eastAsia" w:cs="Times New Roman"/>
          <w:kern w:val="2"/>
        </w:rPr>
        <w:t>个，其他区域</w:t>
      </w:r>
      <w:r>
        <w:rPr>
          <w:rFonts w:cs="Times New Roman"/>
          <w:kern w:val="2"/>
        </w:rPr>
        <w:t>880</w:t>
      </w:r>
      <w:r>
        <w:rPr>
          <w:rFonts w:hint="eastAsia" w:cs="Times New Roman"/>
          <w:kern w:val="2"/>
        </w:rPr>
        <w:t>个。</w:t>
      </w:r>
    </w:p>
    <w:p>
      <w:pPr>
        <w:pStyle w:val="3"/>
      </w:pPr>
      <w:bookmarkStart w:id="32" w:name="_Toc56092697"/>
      <w:bookmarkStart w:id="33" w:name="_Toc55386004"/>
      <w:bookmarkStart w:id="34" w:name="_Hlk511300447"/>
      <w:r>
        <w:rPr>
          <w:rFonts w:hint="eastAsia"/>
        </w:rPr>
        <w:t>现阶段通信规划建设面临的挑战</w:t>
      </w:r>
      <w:bookmarkEnd w:id="32"/>
      <w:bookmarkEnd w:id="33"/>
      <w:bookmarkEnd w:id="34"/>
    </w:p>
    <w:p>
      <w:pPr>
        <w:spacing w:line="360" w:lineRule="auto"/>
        <w:ind w:firstLine="480" w:firstLineChars="200"/>
        <w:jc w:val="both"/>
        <w:rPr>
          <w:rFonts w:cs="Times New Roman"/>
          <w:kern w:val="2"/>
        </w:rPr>
      </w:pPr>
      <w:r>
        <w:rPr>
          <w:rFonts w:cs="Times New Roman"/>
          <w:kern w:val="2"/>
        </w:rPr>
        <w:t>1</w:t>
      </w:r>
      <w:r>
        <w:rPr>
          <w:rFonts w:hint="eastAsia" w:cs="Times New Roman"/>
          <w:kern w:val="2"/>
        </w:rPr>
        <w:t>．</w:t>
      </w:r>
      <w:r>
        <w:rPr>
          <w:rFonts w:cs="Times New Roman"/>
          <w:kern w:val="2"/>
        </w:rPr>
        <w:t>5G</w:t>
      </w:r>
      <w:r>
        <w:rPr>
          <w:rFonts w:hint="eastAsia" w:cs="Times New Roman"/>
          <w:kern w:val="2"/>
        </w:rPr>
        <w:t>通信基础设施应纳入城市规划发展和市政建设中，同步实施。</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．通信业务与市场发展潜力巨大，网络基础设施建设仍需提升。</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．基站建设面临的困难日益增多，通信配套设施难以落地。</w:t>
      </w:r>
    </w:p>
    <w:p>
      <w:pPr>
        <w:spacing w:line="360" w:lineRule="auto"/>
        <w:ind w:firstLine="480" w:firstLineChars="200"/>
        <w:jc w:val="both"/>
        <w:rPr>
          <w:rFonts w:cs="Times New Roman"/>
          <w:kern w:val="2"/>
        </w:rPr>
      </w:pPr>
      <w:r>
        <w:rPr>
          <w:rFonts w:cs="Times New Roman"/>
          <w:kern w:val="2"/>
        </w:rPr>
        <w:t>4</w:t>
      </w:r>
      <w:r>
        <w:rPr>
          <w:rFonts w:hint="eastAsia" w:cs="Times New Roman"/>
          <w:kern w:val="2"/>
        </w:rPr>
        <w:t>．</w:t>
      </w:r>
      <w:r>
        <w:rPr>
          <w:rFonts w:cs="Times New Roman"/>
          <w:kern w:val="2"/>
        </w:rPr>
        <w:t>5G</w:t>
      </w:r>
      <w:r>
        <w:rPr>
          <w:rFonts w:hint="eastAsia" w:cs="Times New Roman"/>
          <w:kern w:val="2"/>
        </w:rPr>
        <w:t>室内分布系统技术革新，现有室分系统需重新建设。</w:t>
      </w:r>
    </w:p>
    <w:p>
      <w:pPr>
        <w:spacing w:line="360" w:lineRule="auto"/>
        <w:ind w:firstLine="480" w:firstLineChars="200"/>
        <w:jc w:val="both"/>
        <w:rPr>
          <w:rFonts w:cs="Times New Roman"/>
          <w:kern w:val="2"/>
        </w:rPr>
      </w:pPr>
      <w:r>
        <w:rPr>
          <w:rFonts w:cs="Times New Roman"/>
          <w:kern w:val="2"/>
        </w:rPr>
        <w:t>5</w:t>
      </w:r>
      <w:r>
        <w:rPr>
          <w:rFonts w:hint="eastAsia" w:cs="Times New Roman"/>
          <w:kern w:val="2"/>
        </w:rPr>
        <w:t>．</w:t>
      </w:r>
      <w:r>
        <w:rPr>
          <w:rFonts w:cs="Times New Roman"/>
          <w:kern w:val="2"/>
        </w:rPr>
        <w:t>5G</w:t>
      </w:r>
      <w:r>
        <w:rPr>
          <w:rFonts w:hint="eastAsia" w:cs="Times New Roman"/>
          <w:kern w:val="2"/>
        </w:rPr>
        <w:t>通信系统功耗为</w:t>
      </w:r>
      <w:r>
        <w:rPr>
          <w:rFonts w:cs="Times New Roman"/>
          <w:kern w:val="2"/>
        </w:rPr>
        <w:t>4G</w:t>
      </w:r>
      <w:r>
        <w:rPr>
          <w:rFonts w:hint="eastAsia" w:cs="Times New Roman"/>
          <w:kern w:val="2"/>
        </w:rPr>
        <w:t>通信系统的</w:t>
      </w:r>
      <w:r>
        <w:rPr>
          <w:rFonts w:cs="Times New Roman"/>
          <w:kern w:val="2"/>
        </w:rPr>
        <w:t>2.5</w:t>
      </w:r>
      <w:r>
        <w:rPr>
          <w:rFonts w:hint="eastAsia" w:cs="Times New Roman"/>
          <w:kern w:val="2"/>
        </w:rPr>
        <w:t>至</w:t>
      </w:r>
      <w:r>
        <w:rPr>
          <w:rFonts w:cs="Times New Roman"/>
          <w:kern w:val="2"/>
        </w:rPr>
        <w:t>3.5</w:t>
      </w:r>
      <w:r>
        <w:rPr>
          <w:rFonts w:hint="eastAsia" w:cs="Times New Roman"/>
          <w:kern w:val="2"/>
        </w:rPr>
        <w:t>倍，需新建</w:t>
      </w:r>
      <w:r>
        <w:rPr>
          <w:rFonts w:cs="Times New Roman"/>
          <w:kern w:val="2"/>
        </w:rPr>
        <w:t>5G</w:t>
      </w:r>
      <w:r>
        <w:rPr>
          <w:rFonts w:hint="eastAsia" w:cs="Times New Roman"/>
          <w:kern w:val="2"/>
        </w:rPr>
        <w:t>综合接入机房，提供电力保障。</w:t>
      </w:r>
    </w:p>
    <w:p>
      <w:pPr>
        <w:spacing w:line="360" w:lineRule="auto"/>
        <w:ind w:firstLine="480" w:firstLineChars="200"/>
        <w:jc w:val="both"/>
        <w:rPr>
          <w:rFonts w:cs="Times New Roman"/>
          <w:kern w:val="2"/>
        </w:rPr>
      </w:pPr>
      <w:r>
        <w:rPr>
          <w:rFonts w:cs="Times New Roman"/>
          <w:kern w:val="2"/>
        </w:rPr>
        <w:t>6</w:t>
      </w:r>
      <w:r>
        <w:rPr>
          <w:rFonts w:hint="eastAsia" w:cs="Times New Roman"/>
          <w:kern w:val="2"/>
        </w:rPr>
        <w:t>．未来</w:t>
      </w:r>
      <w:r>
        <w:rPr>
          <w:rFonts w:cs="Times New Roman"/>
          <w:kern w:val="2"/>
        </w:rPr>
        <w:t xml:space="preserve"> 2-3 </w:t>
      </w:r>
      <w:r>
        <w:rPr>
          <w:rFonts w:hint="eastAsia" w:cs="Times New Roman"/>
          <w:kern w:val="2"/>
        </w:rPr>
        <w:t>年，</w:t>
      </w:r>
      <w:r>
        <w:rPr>
          <w:rFonts w:cs="Times New Roman"/>
          <w:kern w:val="2"/>
        </w:rPr>
        <w:t xml:space="preserve">NFV </w:t>
      </w:r>
      <w:r>
        <w:rPr>
          <w:rFonts w:hint="eastAsia" w:cs="Times New Roman"/>
          <w:kern w:val="2"/>
        </w:rPr>
        <w:t>与</w:t>
      </w:r>
      <w:r>
        <w:rPr>
          <w:rFonts w:cs="Times New Roman"/>
          <w:kern w:val="2"/>
        </w:rPr>
        <w:t xml:space="preserve"> SDN </w:t>
      </w:r>
      <w:r>
        <w:rPr>
          <w:rFonts w:hint="eastAsia" w:cs="Times New Roman"/>
          <w:kern w:val="2"/>
        </w:rPr>
        <w:t>将推动通信设备集中化，数量最小化，打造可靠的重点综合接入机房势在必行。</w:t>
      </w:r>
    </w:p>
    <w:p>
      <w:pPr>
        <w:spacing w:line="360" w:lineRule="auto"/>
        <w:ind w:firstLine="480" w:firstLineChars="200"/>
        <w:jc w:val="both"/>
        <w:rPr>
          <w:rFonts w:cs="Times New Roman"/>
          <w:kern w:val="2"/>
        </w:rPr>
      </w:pPr>
      <w:r>
        <w:rPr>
          <w:rFonts w:cs="Times New Roman"/>
          <w:kern w:val="2"/>
        </w:rPr>
        <w:t>7</w:t>
      </w:r>
      <w:r>
        <w:rPr>
          <w:rFonts w:hint="eastAsia" w:cs="Times New Roman"/>
          <w:kern w:val="2"/>
        </w:rPr>
        <w:t>．</w:t>
      </w:r>
      <w:r>
        <w:rPr>
          <w:rFonts w:cs="Times New Roman"/>
          <w:kern w:val="2"/>
        </w:rPr>
        <w:t xml:space="preserve">CU </w:t>
      </w:r>
      <w:r>
        <w:rPr>
          <w:rFonts w:hint="eastAsia" w:cs="Times New Roman"/>
          <w:kern w:val="2"/>
        </w:rPr>
        <w:t>与</w:t>
      </w:r>
      <w:r>
        <w:rPr>
          <w:rFonts w:cs="Times New Roman"/>
          <w:kern w:val="2"/>
        </w:rPr>
        <w:t xml:space="preserve"> DU </w:t>
      </w:r>
      <w:r>
        <w:rPr>
          <w:rFonts w:hint="eastAsia" w:cs="Times New Roman"/>
          <w:kern w:val="2"/>
        </w:rPr>
        <w:t>云化组网，对接入机房的容量、散热等提出更高要求，目前很多综合接入机房不满足需求。</w:t>
      </w:r>
      <w:r>
        <w:rPr>
          <w:rFonts w:cs="Times New Roman"/>
          <w:kern w:val="2"/>
        </w:rPr>
        <w:br w:type="page"/>
      </w:r>
    </w:p>
    <w:p>
      <w:pPr>
        <w:pStyle w:val="2"/>
      </w:pPr>
      <w:bookmarkStart w:id="35" w:name="_Toc55386005"/>
      <w:bookmarkStart w:id="36" w:name="_Toc460508212"/>
      <w:bookmarkStart w:id="37" w:name="_Toc56092698"/>
      <w:r>
        <w:t>5G</w:t>
      </w:r>
      <w:r>
        <w:rPr>
          <w:rFonts w:hint="eastAsia"/>
        </w:rPr>
        <w:t>通信基础设施需求</w:t>
      </w:r>
      <w:bookmarkEnd w:id="35"/>
      <w:bookmarkEnd w:id="36"/>
      <w:bookmarkEnd w:id="37"/>
    </w:p>
    <w:p>
      <w:pPr>
        <w:pStyle w:val="3"/>
        <w:numPr>
          <w:ilvl w:val="0"/>
          <w:numId w:val="15"/>
        </w:numPr>
      </w:pPr>
      <w:bookmarkStart w:id="38" w:name="_Toc55386006"/>
      <w:bookmarkStart w:id="39" w:name="_Toc56092699"/>
      <w:r>
        <w:t>5G</w:t>
      </w:r>
      <w:r>
        <w:rPr>
          <w:rFonts w:hint="eastAsia"/>
        </w:rPr>
        <w:t>通信基础设施需求</w:t>
      </w:r>
      <w:bookmarkEnd w:id="38"/>
      <w:bookmarkEnd w:id="39"/>
    </w:p>
    <w:p>
      <w:pPr>
        <w:spacing w:line="360" w:lineRule="auto"/>
        <w:ind w:firstLine="480" w:firstLineChars="200"/>
        <w:jc w:val="both"/>
        <w:rPr>
          <w:rFonts w:cs="Times New Roman"/>
          <w:kern w:val="2"/>
        </w:rPr>
      </w:pPr>
      <w:r>
        <w:rPr>
          <w:rFonts w:hint="eastAsia" w:cs="Times New Roman"/>
          <w:kern w:val="2"/>
        </w:rPr>
        <w:t>移动互联网和物联网是未来移动通信发展的两大主要驱动力，将为</w:t>
      </w:r>
      <w:r>
        <w:rPr>
          <w:rFonts w:cs="Times New Roman"/>
          <w:kern w:val="2"/>
        </w:rPr>
        <w:t>5G</w:t>
      </w:r>
      <w:r>
        <w:rPr>
          <w:rFonts w:hint="eastAsia" w:cs="Times New Roman"/>
          <w:kern w:val="2"/>
        </w:rPr>
        <w:t>提供广阔的前景。</w:t>
      </w:r>
    </w:p>
    <w:p>
      <w:pPr>
        <w:spacing w:line="360" w:lineRule="auto"/>
        <w:ind w:firstLine="480" w:firstLineChars="200"/>
        <w:jc w:val="both"/>
        <w:rPr>
          <w:rFonts w:cs="Times New Roman"/>
          <w:kern w:val="2"/>
        </w:rPr>
      </w:pPr>
      <w:r>
        <w:rPr>
          <w:rFonts w:hint="eastAsia" w:cs="Times New Roman"/>
          <w:kern w:val="2"/>
        </w:rPr>
        <w:t>移动互联网将推动人类社会信息交互方式的进一步升级，为用户提供增强现实、虚拟现实、超高清</w:t>
      </w:r>
      <w:r>
        <w:rPr>
          <w:rFonts w:cs="Times New Roman"/>
          <w:kern w:val="2"/>
        </w:rPr>
        <w:t>(3D)</w:t>
      </w:r>
      <w:r>
        <w:rPr>
          <w:rFonts w:hint="eastAsia" w:cs="Times New Roman"/>
          <w:kern w:val="2"/>
        </w:rPr>
        <w:t>视频、移动云等更加身临其境的极致业务体验。移动互联网的进一步发展将带来未来移动流量超千倍增长，推动移动通信技术和产业的新一轮变革。</w:t>
      </w:r>
    </w:p>
    <w:p>
      <w:pPr>
        <w:spacing w:line="360" w:lineRule="auto"/>
        <w:ind w:firstLine="480" w:firstLineChars="200"/>
        <w:jc w:val="both"/>
        <w:rPr>
          <w:rFonts w:cs="Times New Roman"/>
          <w:kern w:val="2"/>
        </w:rPr>
      </w:pPr>
      <w:r>
        <w:rPr>
          <w:rFonts w:hint="eastAsia" w:cs="Times New Roman"/>
          <w:kern w:val="2"/>
        </w:rPr>
        <w:t>物联网扩展了移动通信的服务范围，从人与人通信延伸到物与物、人与物智能互联，使移动通信技术渗透至更广阔的行业和领域。面向未来，移动医疗、车联网、智能家居、工业控制、环境监测等将会推动物联网应用爆发式增长，数以千亿的设备将接入网络，实现真正的“万物互联”，并缔造出规模空前的新兴产业，为移动通信带来无限生机。</w:t>
      </w:r>
    </w:p>
    <w:p>
      <w:pPr>
        <w:spacing w:line="360" w:lineRule="auto"/>
        <w:ind w:firstLine="480" w:firstLineChars="200"/>
        <w:jc w:val="both"/>
        <w:rPr>
          <w:rFonts w:cs="Times New Roman"/>
          <w:kern w:val="2"/>
        </w:rPr>
      </w:pPr>
      <w:r>
        <w:rPr>
          <w:rFonts w:hint="eastAsia" w:cs="Times New Roman"/>
          <w:kern w:val="2"/>
        </w:rPr>
        <w:t>要满足以上应用场景对移动网络的速率和容量以及移动性的要求，未来</w:t>
      </w:r>
      <w:r>
        <w:rPr>
          <w:rFonts w:cs="Times New Roman"/>
          <w:kern w:val="2"/>
        </w:rPr>
        <w:t>5G</w:t>
      </w:r>
      <w:r>
        <w:rPr>
          <w:rFonts w:hint="eastAsia" w:cs="Times New Roman"/>
          <w:kern w:val="2"/>
        </w:rPr>
        <w:t>网络需要达到的目标相较与</w:t>
      </w:r>
      <w:r>
        <w:rPr>
          <w:rFonts w:cs="Times New Roman"/>
          <w:kern w:val="2"/>
        </w:rPr>
        <w:t>4G</w:t>
      </w:r>
      <w:r>
        <w:rPr>
          <w:rFonts w:hint="eastAsia" w:cs="Times New Roman"/>
          <w:kern w:val="2"/>
        </w:rPr>
        <w:t>网络将大幅提升：</w:t>
      </w:r>
    </w:p>
    <w:p>
      <w:pPr>
        <w:spacing w:line="360" w:lineRule="auto"/>
        <w:ind w:firstLine="480" w:firstLineChars="200"/>
        <w:jc w:val="both"/>
        <w:rPr>
          <w:rFonts w:cs="Times New Roman"/>
          <w:kern w:val="2"/>
        </w:rPr>
      </w:pPr>
      <w:r>
        <w:rPr>
          <w:rFonts w:hint="eastAsia" w:cs="Times New Roman"/>
          <w:kern w:val="2"/>
        </w:rPr>
        <w:t>①支持</w:t>
      </w:r>
      <w:r>
        <w:rPr>
          <w:rFonts w:cs="Times New Roman"/>
          <w:kern w:val="2"/>
        </w:rPr>
        <w:t>0.1</w:t>
      </w:r>
      <w:r>
        <w:rPr>
          <w:rFonts w:hint="eastAsia" w:cs="Times New Roman"/>
          <w:kern w:val="2"/>
        </w:rPr>
        <w:t>～</w:t>
      </w:r>
      <w:r>
        <w:rPr>
          <w:rFonts w:cs="Times New Roman"/>
          <w:kern w:val="2"/>
        </w:rPr>
        <w:t>1Gbps</w:t>
      </w:r>
      <w:r>
        <w:rPr>
          <w:rFonts w:hint="eastAsia" w:cs="Times New Roman"/>
          <w:kern w:val="2"/>
        </w:rPr>
        <w:t>的用户体验速率</w:t>
      </w:r>
    </w:p>
    <w:p>
      <w:pPr>
        <w:spacing w:line="360" w:lineRule="auto"/>
        <w:ind w:firstLine="480" w:firstLineChars="200"/>
        <w:jc w:val="both"/>
        <w:rPr>
          <w:rFonts w:cs="Times New Roman"/>
          <w:kern w:val="2"/>
        </w:rPr>
      </w:pPr>
      <w:r>
        <w:rPr>
          <w:rFonts w:hint="eastAsia" w:cs="Times New Roman"/>
          <w:kern w:val="2"/>
        </w:rPr>
        <w:t>②每平方公里数十</w:t>
      </w:r>
      <w:r>
        <w:rPr>
          <w:rFonts w:cs="Times New Roman"/>
          <w:kern w:val="2"/>
        </w:rPr>
        <w:t>Tbps</w:t>
      </w:r>
      <w:r>
        <w:rPr>
          <w:rFonts w:hint="eastAsia" w:cs="Times New Roman"/>
          <w:kern w:val="2"/>
        </w:rPr>
        <w:t>的流量密度</w:t>
      </w:r>
    </w:p>
    <w:p>
      <w:pPr>
        <w:spacing w:line="360" w:lineRule="auto"/>
        <w:ind w:firstLine="480" w:firstLineChars="200"/>
        <w:jc w:val="both"/>
        <w:rPr>
          <w:rFonts w:cs="Times New Roman"/>
          <w:kern w:val="2"/>
        </w:rPr>
      </w:pPr>
      <w:r>
        <w:rPr>
          <w:rFonts w:hint="eastAsia" w:cs="Times New Roman"/>
          <w:kern w:val="2"/>
        </w:rPr>
        <w:t>③每平方公里一百万的连接数密度</w:t>
      </w:r>
    </w:p>
    <w:p>
      <w:pPr>
        <w:spacing w:line="360" w:lineRule="auto"/>
        <w:ind w:firstLine="480" w:firstLineChars="200"/>
        <w:jc w:val="both"/>
        <w:rPr>
          <w:rFonts w:cs="Times New Roman"/>
          <w:kern w:val="2"/>
        </w:rPr>
      </w:pPr>
      <w:r>
        <w:rPr>
          <w:rFonts w:hint="eastAsia" w:cs="Times New Roman"/>
          <w:kern w:val="2"/>
        </w:rPr>
        <w:t>④每小时</w:t>
      </w:r>
      <w:r>
        <w:rPr>
          <w:rFonts w:cs="Times New Roman"/>
          <w:kern w:val="2"/>
        </w:rPr>
        <w:t>500Km</w:t>
      </w:r>
      <w:r>
        <w:rPr>
          <w:rFonts w:hint="eastAsia" w:cs="Times New Roman"/>
          <w:kern w:val="2"/>
        </w:rPr>
        <w:t>以上的移动性</w:t>
      </w:r>
    </w:p>
    <w:p>
      <w:pPr>
        <w:spacing w:line="360" w:lineRule="auto"/>
        <w:ind w:firstLine="480" w:firstLineChars="200"/>
        <w:jc w:val="both"/>
        <w:rPr>
          <w:rFonts w:cs="Times New Roman"/>
          <w:kern w:val="2"/>
        </w:rPr>
      </w:pPr>
      <w:r>
        <w:rPr>
          <w:rFonts w:hint="eastAsia" w:cs="Times New Roman"/>
          <w:kern w:val="2"/>
        </w:rPr>
        <w:t>⑤毫秒级的端到端时延</w:t>
      </w:r>
    </w:p>
    <w:p>
      <w:pPr>
        <w:spacing w:line="360" w:lineRule="auto"/>
        <w:ind w:firstLine="480" w:firstLineChars="200"/>
        <w:jc w:val="both"/>
        <w:rPr>
          <w:rFonts w:cs="Times New Roman"/>
          <w:kern w:val="2"/>
        </w:rPr>
      </w:pPr>
      <w:r>
        <w:rPr>
          <w:rFonts w:hint="eastAsia" w:cs="Times New Roman"/>
          <w:kern w:val="2"/>
        </w:rPr>
        <w:t>⑥数十</w:t>
      </w:r>
      <w:r>
        <w:rPr>
          <w:rFonts w:cs="Times New Roman"/>
          <w:kern w:val="2"/>
        </w:rPr>
        <w:t>Gbps</w:t>
      </w:r>
      <w:r>
        <w:rPr>
          <w:rFonts w:hint="eastAsia" w:cs="Times New Roman"/>
          <w:kern w:val="2"/>
        </w:rPr>
        <w:t>的峰值速率</w:t>
      </w:r>
    </w:p>
    <w:p>
      <w:pPr>
        <w:pStyle w:val="3"/>
      </w:pPr>
      <w:bookmarkStart w:id="40" w:name="_Toc55386007"/>
      <w:bookmarkStart w:id="41" w:name="_Toc56092700"/>
      <w:r>
        <w:t>5G</w:t>
      </w:r>
      <w:r>
        <w:rPr>
          <w:rFonts w:hint="eastAsia"/>
        </w:rPr>
        <w:t>通信发展现状及意义</w:t>
      </w:r>
      <w:bookmarkEnd w:id="40"/>
      <w:bookmarkEnd w:id="41"/>
    </w:p>
    <w:p>
      <w:pPr>
        <w:pStyle w:val="7"/>
        <w:numPr>
          <w:ilvl w:val="0"/>
          <w:numId w:val="16"/>
        </w:numPr>
        <w:spacing w:line="360" w:lineRule="auto"/>
        <w:ind w:firstLineChars="0"/>
        <w:rPr>
          <w:rFonts w:ascii="宋体"/>
          <w:sz w:val="24"/>
          <w:szCs w:val="24"/>
        </w:rPr>
      </w:pPr>
      <w:r>
        <w:rPr>
          <w:rFonts w:ascii="宋体" w:hAnsi="宋体"/>
          <w:sz w:val="24"/>
          <w:szCs w:val="24"/>
        </w:rPr>
        <w:t>5G</w:t>
      </w:r>
      <w:r>
        <w:rPr>
          <w:rFonts w:hint="eastAsia" w:ascii="宋体" w:hAnsi="宋体"/>
          <w:sz w:val="24"/>
          <w:szCs w:val="24"/>
        </w:rPr>
        <w:t>将实现“万物互联”，开辟移动通信发展新时代。</w:t>
      </w:r>
    </w:p>
    <w:p>
      <w:pPr>
        <w:pStyle w:val="7"/>
        <w:numPr>
          <w:ilvl w:val="0"/>
          <w:numId w:val="16"/>
        </w:numPr>
        <w:spacing w:line="360" w:lineRule="auto"/>
        <w:ind w:firstLineChars="0"/>
        <w:rPr>
          <w:rFonts w:ascii="宋体"/>
          <w:sz w:val="24"/>
          <w:szCs w:val="24"/>
        </w:rPr>
      </w:pPr>
      <w:r>
        <w:rPr>
          <w:rFonts w:ascii="宋体" w:hAnsi="宋体"/>
          <w:sz w:val="24"/>
          <w:szCs w:val="24"/>
        </w:rPr>
        <w:t>5G</w:t>
      </w:r>
      <w:r>
        <w:rPr>
          <w:rFonts w:hint="eastAsia" w:ascii="宋体" w:hAnsi="宋体"/>
          <w:sz w:val="24"/>
          <w:szCs w:val="24"/>
        </w:rPr>
        <w:t>是数字化战略的先导领域，积极抢占</w:t>
      </w:r>
      <w:r>
        <w:rPr>
          <w:rFonts w:ascii="宋体" w:hAnsi="宋体"/>
          <w:sz w:val="24"/>
          <w:szCs w:val="24"/>
        </w:rPr>
        <w:t>5G</w:t>
      </w:r>
      <w:r>
        <w:rPr>
          <w:rFonts w:hint="eastAsia" w:ascii="宋体" w:hAnsi="宋体"/>
          <w:sz w:val="24"/>
          <w:szCs w:val="24"/>
        </w:rPr>
        <w:t>制高点意义重大。</w:t>
      </w:r>
    </w:p>
    <w:p>
      <w:pPr>
        <w:pStyle w:val="7"/>
        <w:numPr>
          <w:ilvl w:val="0"/>
          <w:numId w:val="16"/>
        </w:numPr>
        <w:spacing w:line="360" w:lineRule="auto"/>
        <w:ind w:firstLineChars="0"/>
        <w:rPr>
          <w:rFonts w:ascii="宋体"/>
          <w:sz w:val="24"/>
          <w:szCs w:val="24"/>
        </w:rPr>
      </w:pPr>
      <w:r>
        <w:rPr>
          <w:rFonts w:ascii="宋体" w:hAnsi="宋体"/>
          <w:sz w:val="24"/>
          <w:szCs w:val="24"/>
        </w:rPr>
        <w:t>5G</w:t>
      </w:r>
      <w:r>
        <w:rPr>
          <w:rFonts w:hint="eastAsia" w:ascii="宋体" w:hAnsi="宋体"/>
          <w:sz w:val="24"/>
          <w:szCs w:val="24"/>
        </w:rPr>
        <w:t>将催生经济增长新动能，驱动梁平创新战略。</w:t>
      </w:r>
    </w:p>
    <w:p>
      <w:pPr>
        <w:pStyle w:val="7"/>
        <w:numPr>
          <w:ilvl w:val="0"/>
          <w:numId w:val="16"/>
        </w:numPr>
        <w:spacing w:line="360" w:lineRule="auto"/>
        <w:ind w:firstLineChars="0"/>
        <w:rPr>
          <w:rFonts w:ascii="宋体"/>
          <w:sz w:val="24"/>
          <w:szCs w:val="24"/>
        </w:rPr>
      </w:pPr>
      <w:r>
        <w:rPr>
          <w:rFonts w:ascii="宋体" w:hAnsi="宋体"/>
          <w:sz w:val="24"/>
          <w:szCs w:val="24"/>
        </w:rPr>
        <w:t>5G</w:t>
      </w:r>
      <w:r>
        <w:rPr>
          <w:rFonts w:hint="eastAsia" w:ascii="宋体" w:hAnsi="宋体"/>
          <w:sz w:val="24"/>
          <w:szCs w:val="24"/>
        </w:rPr>
        <w:t>商用发展如火如荼，把握应用和产业发展窗口机遇至关重要。</w:t>
      </w:r>
    </w:p>
    <w:p>
      <w:pPr>
        <w:pStyle w:val="7"/>
        <w:numPr>
          <w:ilvl w:val="0"/>
          <w:numId w:val="16"/>
        </w:numPr>
        <w:spacing w:line="360" w:lineRule="auto"/>
        <w:ind w:firstLineChars="0"/>
        <w:rPr>
          <w:rFonts w:ascii="宋体"/>
          <w:sz w:val="24"/>
          <w:szCs w:val="24"/>
        </w:rPr>
      </w:pPr>
      <w:r>
        <w:rPr>
          <w:rFonts w:ascii="宋体" w:hAnsi="宋体"/>
          <w:sz w:val="24"/>
          <w:szCs w:val="24"/>
        </w:rPr>
        <w:t>5G</w:t>
      </w:r>
      <w:r>
        <w:rPr>
          <w:rFonts w:hint="eastAsia" w:ascii="宋体" w:hAnsi="宋体"/>
          <w:sz w:val="24"/>
          <w:szCs w:val="24"/>
        </w:rPr>
        <w:t>是驱动梁平区经济高质量增长新引擎，有助于构建现代化产业新体系。</w:t>
      </w:r>
    </w:p>
    <w:p>
      <w:pPr>
        <w:pStyle w:val="3"/>
      </w:pPr>
      <w:bookmarkStart w:id="42" w:name="_Toc56092701"/>
      <w:bookmarkStart w:id="43" w:name="_Toc55386008"/>
      <w:r>
        <w:t>5G</w:t>
      </w:r>
      <w:r>
        <w:rPr>
          <w:rFonts w:hint="eastAsia"/>
        </w:rPr>
        <w:t>通信基站规划方法</w:t>
      </w:r>
      <w:bookmarkEnd w:id="42"/>
      <w:bookmarkEnd w:id="43"/>
    </w:p>
    <w:p>
      <w:pPr>
        <w:spacing w:line="360" w:lineRule="auto"/>
        <w:ind w:firstLine="480" w:firstLineChars="200"/>
        <w:jc w:val="both"/>
        <w:rPr>
          <w:rFonts w:cs="Times New Roman"/>
          <w:kern w:val="2"/>
        </w:rPr>
      </w:pPr>
      <w:r>
        <w:rPr>
          <w:rFonts w:hint="eastAsia" w:cs="Times New Roman"/>
          <w:kern w:val="2"/>
        </w:rPr>
        <w:t>要实现</w:t>
      </w:r>
      <w:r>
        <w:rPr>
          <w:rFonts w:cs="Times New Roman"/>
          <w:kern w:val="2"/>
        </w:rPr>
        <w:t>5G</w:t>
      </w:r>
      <w:r>
        <w:rPr>
          <w:rFonts w:hint="eastAsia" w:cs="Times New Roman"/>
          <w:kern w:val="2"/>
        </w:rPr>
        <w:t>的技术指标，</w:t>
      </w:r>
      <w:r>
        <w:rPr>
          <w:rFonts w:cs="Times New Roman"/>
          <w:kern w:val="2"/>
        </w:rPr>
        <w:t>5G</w:t>
      </w:r>
      <w:r>
        <w:rPr>
          <w:rFonts w:hint="eastAsia" w:cs="Times New Roman"/>
          <w:kern w:val="2"/>
        </w:rPr>
        <w:t>网络需要通过借助多种新型技术手段加以实现，如新的载波和多址技术，大规模天线技术，超密集组网等等。其中超密集组网技术对</w:t>
      </w:r>
      <w:r>
        <w:rPr>
          <w:rFonts w:cs="Times New Roman"/>
          <w:kern w:val="2"/>
        </w:rPr>
        <w:t>5G</w:t>
      </w:r>
      <w:r>
        <w:rPr>
          <w:rFonts w:hint="eastAsia" w:cs="Times New Roman"/>
          <w:kern w:val="2"/>
        </w:rPr>
        <w:t>基站站址的分布提出了更高的要求，超密集组网将是满足</w:t>
      </w:r>
      <w:r>
        <w:rPr>
          <w:rFonts w:cs="Times New Roman"/>
          <w:kern w:val="2"/>
        </w:rPr>
        <w:t>2020</w:t>
      </w:r>
      <w:r>
        <w:rPr>
          <w:rFonts w:hint="eastAsia" w:cs="Times New Roman"/>
          <w:kern w:val="2"/>
        </w:rPr>
        <w:t>年以及未来移动数据流量需求的主要技术手段。</w:t>
      </w:r>
    </w:p>
    <w:p>
      <w:pPr>
        <w:spacing w:line="360" w:lineRule="auto"/>
        <w:ind w:firstLine="480" w:firstLineChars="200"/>
        <w:jc w:val="both"/>
        <w:rPr>
          <w:rFonts w:cs="Times New Roman"/>
          <w:kern w:val="2"/>
        </w:rPr>
      </w:pPr>
      <w:r>
        <w:rPr>
          <w:rFonts w:hint="eastAsia" w:cs="Times New Roman"/>
          <w:kern w:val="2"/>
        </w:rPr>
        <w:t>超密集组网技术主要有以下特征：基站站距缩小到几十米级、基站数量大量增加、站址选择多样、基站部署即插即用。</w:t>
      </w:r>
    </w:p>
    <w:p>
      <w:pPr>
        <w:spacing w:line="360" w:lineRule="auto"/>
        <w:ind w:firstLine="480" w:firstLineChars="200"/>
        <w:jc w:val="both"/>
        <w:rPr>
          <w:rFonts w:cs="Times New Roman"/>
          <w:kern w:val="2"/>
        </w:rPr>
      </w:pPr>
      <w:r>
        <w:rPr>
          <w:rFonts w:hint="eastAsia" w:cs="Times New Roman"/>
          <w:kern w:val="2"/>
        </w:rPr>
        <w:t>根据目前工信部公布的最新</w:t>
      </w:r>
      <w:r>
        <w:rPr>
          <w:rFonts w:cs="Times New Roman"/>
          <w:kern w:val="2"/>
        </w:rPr>
        <w:t>5G</w:t>
      </w:r>
      <w:r>
        <w:rPr>
          <w:rFonts w:hint="eastAsia" w:cs="Times New Roman"/>
          <w:kern w:val="2"/>
        </w:rPr>
        <w:t>频段来看，国内运营商的实验网室外基站主要部署在</w:t>
      </w:r>
      <w:r>
        <w:rPr>
          <w:rFonts w:cs="Times New Roman"/>
          <w:kern w:val="2"/>
        </w:rPr>
        <w:t>3.5GHz</w:t>
      </w:r>
      <w:r>
        <w:rPr>
          <w:rFonts w:hint="eastAsia" w:cs="Times New Roman"/>
          <w:kern w:val="2"/>
        </w:rPr>
        <w:t>的频段，因此本次规划主要根据</w:t>
      </w:r>
      <w:r>
        <w:rPr>
          <w:rFonts w:cs="Times New Roman"/>
          <w:kern w:val="2"/>
        </w:rPr>
        <w:t>3.5GHz</w:t>
      </w:r>
      <w:r>
        <w:rPr>
          <w:rFonts w:hint="eastAsia" w:cs="Times New Roman"/>
          <w:kern w:val="2"/>
        </w:rPr>
        <w:t>频段的覆盖能力来进行站距的选定。</w:t>
      </w:r>
    </w:p>
    <w:p>
      <w:pPr>
        <w:spacing w:line="360" w:lineRule="auto"/>
        <w:ind w:left="141" w:leftChars="59" w:firstLine="480" w:firstLineChars="200"/>
        <w:rPr>
          <w:rFonts w:cs="Times New Roman"/>
          <w:kern w:val="2"/>
        </w:rPr>
      </w:pPr>
      <w:r>
        <w:rPr>
          <w:rFonts w:hint="eastAsia" w:cs="Times New Roman"/>
          <w:kern w:val="2"/>
        </w:rPr>
        <w:t>通过</w:t>
      </w:r>
      <w:r>
        <w:rPr>
          <w:rFonts w:cs="Times New Roman"/>
          <w:kern w:val="2"/>
        </w:rPr>
        <w:t>5G</w:t>
      </w:r>
      <w:r>
        <w:rPr>
          <w:rFonts w:hint="eastAsia" w:cs="Times New Roman"/>
          <w:kern w:val="2"/>
        </w:rPr>
        <w:t>（</w:t>
      </w:r>
      <w:r>
        <w:rPr>
          <w:rFonts w:cs="Times New Roman"/>
          <w:kern w:val="2"/>
        </w:rPr>
        <w:t>3.5G</w:t>
      </w:r>
      <w:r>
        <w:rPr>
          <w:rFonts w:hint="eastAsia" w:cs="Times New Roman"/>
          <w:kern w:val="2"/>
        </w:rPr>
        <w:t>）频段空间传播</w:t>
      </w:r>
      <w:r>
        <w:rPr>
          <w:rFonts w:cs="Times New Roman"/>
          <w:kern w:val="2"/>
        </w:rPr>
        <w:t>UMA</w:t>
      </w:r>
      <w:r>
        <w:rPr>
          <w:rFonts w:hint="eastAsia" w:cs="Times New Roman"/>
          <w:kern w:val="2"/>
        </w:rPr>
        <w:t>模型链路预算，无线电波上行：</w:t>
      </w:r>
      <w:r>
        <w:rPr>
          <w:rFonts w:cs="Times New Roman"/>
          <w:kern w:val="2"/>
        </w:rPr>
        <w:t>PL_UL=Pout_UE+Ga_BS+Ga_UE-Lf_BS-Lp-Lb-Mf-Mp-Mi-S-BS</w:t>
      </w:r>
      <w:r>
        <w:rPr>
          <w:rFonts w:hint="eastAsia" w:cs="Times New Roman"/>
          <w:kern w:val="2"/>
        </w:rPr>
        <w:t>，</w:t>
      </w:r>
    </w:p>
    <w:p>
      <w:pPr>
        <w:spacing w:line="360" w:lineRule="auto"/>
        <w:ind w:firstLine="480" w:firstLineChars="200"/>
        <w:jc w:val="both"/>
        <w:rPr>
          <w:rFonts w:cs="Times New Roman"/>
          <w:kern w:val="2"/>
        </w:rPr>
      </w:pPr>
      <w:r>
        <w:rPr>
          <w:rFonts w:hint="eastAsia" w:cs="Times New Roman"/>
          <w:kern w:val="2"/>
        </w:rPr>
        <w:t>下行：</w:t>
      </w:r>
      <w:r>
        <w:rPr>
          <w:rFonts w:cs="Times New Roman"/>
          <w:kern w:val="2"/>
        </w:rPr>
        <w:t>PL_DL=Pout_BS+Ga_BS+Ga_UE-Lf_BS-Lp-Lb-Mf-Mp-Mi-S_UE</w:t>
      </w:r>
      <w:r>
        <w:rPr>
          <w:rFonts w:hint="eastAsia" w:cs="Times New Roman"/>
          <w:kern w:val="2"/>
        </w:rPr>
        <w:t>，其中</w:t>
      </w:r>
      <w:r>
        <w:rPr>
          <w:rFonts w:cs="Times New Roman"/>
          <w:kern w:val="2"/>
        </w:rPr>
        <w:t xml:space="preserve"> PL_UL:</w:t>
      </w:r>
      <w:r>
        <w:rPr>
          <w:rFonts w:hint="eastAsia" w:cs="Times New Roman"/>
          <w:kern w:val="2"/>
        </w:rPr>
        <w:t>上行链路最大传播损耗、</w:t>
      </w:r>
      <w:r>
        <w:rPr>
          <w:rFonts w:cs="Times New Roman"/>
          <w:kern w:val="2"/>
        </w:rPr>
        <w:t>Pout_UE:</w:t>
      </w:r>
      <w:r>
        <w:rPr>
          <w:rFonts w:hint="eastAsia" w:cs="Times New Roman"/>
          <w:kern w:val="2"/>
        </w:rPr>
        <w:t>移动台最大发射功率、</w:t>
      </w:r>
      <w:r>
        <w:rPr>
          <w:rFonts w:cs="Times New Roman"/>
          <w:kern w:val="2"/>
        </w:rPr>
        <w:t>Ga_UE:</w:t>
      </w:r>
      <w:r>
        <w:rPr>
          <w:rFonts w:hint="eastAsia" w:cs="Times New Roman"/>
          <w:kern w:val="2"/>
        </w:rPr>
        <w:t>移动台天线增益、</w:t>
      </w:r>
      <w:r>
        <w:rPr>
          <w:rFonts w:cs="Times New Roman"/>
          <w:kern w:val="2"/>
        </w:rPr>
        <w:t>Ga_BS:</w:t>
      </w:r>
      <w:r>
        <w:rPr>
          <w:rFonts w:hint="eastAsia" w:cs="Times New Roman"/>
          <w:kern w:val="2"/>
        </w:rPr>
        <w:t>基站天线增益、</w:t>
      </w:r>
      <w:r>
        <w:rPr>
          <w:rFonts w:cs="Times New Roman"/>
          <w:kern w:val="2"/>
        </w:rPr>
        <w:t>Lf_BS:</w:t>
      </w:r>
      <w:r>
        <w:rPr>
          <w:rFonts w:hint="eastAsia" w:cs="Times New Roman"/>
          <w:kern w:val="2"/>
        </w:rPr>
        <w:t>基站馈线损耗、</w:t>
      </w:r>
      <w:r>
        <w:rPr>
          <w:rFonts w:cs="Times New Roman"/>
          <w:kern w:val="2"/>
        </w:rPr>
        <w:t>Lp</w:t>
      </w:r>
      <w:r>
        <w:rPr>
          <w:rFonts w:hint="eastAsia" w:cs="Times New Roman"/>
          <w:kern w:val="2"/>
        </w:rPr>
        <w:t>：穿透损耗、</w:t>
      </w:r>
      <w:r>
        <w:rPr>
          <w:rFonts w:cs="Times New Roman"/>
          <w:kern w:val="2"/>
        </w:rPr>
        <w:t>Lb</w:t>
      </w:r>
      <w:r>
        <w:rPr>
          <w:rFonts w:hint="eastAsia" w:cs="Times New Roman"/>
          <w:kern w:val="2"/>
        </w:rPr>
        <w:t>：人体损耗、</w:t>
      </w:r>
      <w:r>
        <w:rPr>
          <w:rFonts w:cs="Times New Roman"/>
          <w:kern w:val="2"/>
        </w:rPr>
        <w:t>Mf</w:t>
      </w:r>
      <w:r>
        <w:rPr>
          <w:rFonts w:hint="eastAsia" w:cs="Times New Roman"/>
          <w:kern w:val="2"/>
        </w:rPr>
        <w:t>：阴影衰落余量</w:t>
      </w:r>
      <w:r>
        <w:rPr>
          <w:rFonts w:cs="Times New Roman"/>
          <w:kern w:val="2"/>
        </w:rPr>
        <w:t>Mi</w:t>
      </w:r>
      <w:r>
        <w:rPr>
          <w:rFonts w:hint="eastAsia" w:cs="Times New Roman"/>
          <w:kern w:val="2"/>
        </w:rPr>
        <w:t>：干扰余量、</w:t>
      </w:r>
      <w:r>
        <w:rPr>
          <w:rFonts w:cs="Times New Roman"/>
          <w:kern w:val="2"/>
        </w:rPr>
        <w:t>Mp</w:t>
      </w:r>
      <w:r>
        <w:rPr>
          <w:rFonts w:hint="eastAsia" w:cs="Times New Roman"/>
          <w:kern w:val="2"/>
        </w:rPr>
        <w:t>：快衰落（功控）余量、</w:t>
      </w:r>
      <w:r>
        <w:rPr>
          <w:rFonts w:cs="Times New Roman"/>
          <w:kern w:val="2"/>
        </w:rPr>
        <w:t>S_BS</w:t>
      </w:r>
      <w:r>
        <w:rPr>
          <w:rFonts w:hint="eastAsia" w:cs="Times New Roman"/>
          <w:kern w:val="2"/>
        </w:rPr>
        <w:t>：基站接收机灵敏度。</w:t>
      </w:r>
    </w:p>
    <w:p>
      <w:pPr>
        <w:spacing w:line="360" w:lineRule="auto"/>
        <w:ind w:firstLine="480" w:firstLineChars="200"/>
        <w:jc w:val="both"/>
        <w:rPr>
          <w:rFonts w:cs="Times New Roman"/>
          <w:kern w:val="2"/>
        </w:rPr>
      </w:pPr>
      <w:r>
        <w:rPr>
          <w:rFonts w:hint="eastAsia" w:cs="Times New Roman"/>
          <w:kern w:val="2"/>
        </w:rPr>
        <w:t>上下行预算结果一般不同，实际有效的覆盖范围将取决于上下行两路预算中的较小者。计算出最大路径损耗后，通过传播模型计算最大损耗情况下小区的覆盖半径。</w:t>
      </w:r>
    </w:p>
    <w:p>
      <w:pPr>
        <w:spacing w:line="360" w:lineRule="auto"/>
        <w:ind w:firstLine="480" w:firstLineChars="200"/>
        <w:jc w:val="both"/>
        <w:rPr>
          <w:rFonts w:cs="Times New Roman"/>
          <w:kern w:val="2"/>
        </w:rPr>
      </w:pPr>
      <w:r>
        <w:rPr>
          <w:rFonts w:hint="eastAsia" w:cs="Times New Roman"/>
          <w:kern w:val="2"/>
        </w:rPr>
        <w:t>结合梁平区现网存量站址、路灯杆、监控杆、公交站牌及交通指示牌等公共杆塔资源，统筹考虑单站承载三大运营商</w:t>
      </w:r>
      <w:r>
        <w:rPr>
          <w:rFonts w:cs="Times New Roman"/>
          <w:kern w:val="2"/>
        </w:rPr>
        <w:t>5G</w:t>
      </w:r>
      <w:r>
        <w:rPr>
          <w:rFonts w:hint="eastAsia" w:cs="Times New Roman"/>
          <w:kern w:val="2"/>
        </w:rPr>
        <w:t>设备困难，采用“黑白棋”错位部署组网方式。</w:t>
      </w:r>
    </w:p>
    <w:p>
      <w:pPr>
        <w:spacing w:line="360" w:lineRule="auto"/>
        <w:ind w:firstLine="480" w:firstLineChars="200"/>
        <w:jc w:val="both"/>
        <w:rPr>
          <w:rFonts w:cs="Times New Roman"/>
          <w:kern w:val="2"/>
        </w:rPr>
      </w:pPr>
      <w:r>
        <w:rPr>
          <w:rFonts w:hint="eastAsia" w:cs="Times New Roman"/>
          <w:kern w:val="2"/>
        </w:rPr>
        <w:t>边缘速率标准：</w:t>
      </w:r>
    </w:p>
    <w:p>
      <w:pPr>
        <w:spacing w:line="360" w:lineRule="auto"/>
        <w:ind w:firstLine="480" w:firstLineChars="200"/>
        <w:jc w:val="both"/>
        <w:rPr>
          <w:rFonts w:cs="Times New Roman"/>
          <w:kern w:val="2"/>
        </w:rPr>
      </w:pPr>
      <w:r>
        <w:rPr>
          <w:rFonts w:cs="Times New Roman"/>
          <w:kern w:val="2"/>
        </w:rPr>
        <w:t>1</w:t>
      </w:r>
      <w:r>
        <w:rPr>
          <w:rFonts w:hint="eastAsia" w:cs="Times New Roman"/>
          <w:kern w:val="2"/>
        </w:rPr>
        <w:t>、一般城区下行边缘速率</w:t>
      </w:r>
      <w:r>
        <w:rPr>
          <w:rFonts w:cs="Times New Roman"/>
          <w:kern w:val="2"/>
        </w:rPr>
        <w:t>50Mbps</w:t>
      </w:r>
      <w:r>
        <w:rPr>
          <w:rFonts w:hint="eastAsia" w:cs="Times New Roman"/>
          <w:kern w:val="2"/>
        </w:rPr>
        <w:t>基准支持</w:t>
      </w:r>
      <w:r>
        <w:rPr>
          <w:rFonts w:cs="Times New Roman"/>
          <w:kern w:val="2"/>
        </w:rPr>
        <w:t>2K/4K</w:t>
      </w:r>
      <w:r>
        <w:rPr>
          <w:rFonts w:hint="eastAsia" w:cs="Times New Roman"/>
          <w:kern w:val="2"/>
        </w:rPr>
        <w:t>高清视频，密集城区高热区域下行边缘速率</w:t>
      </w:r>
      <w:r>
        <w:rPr>
          <w:rFonts w:cs="Times New Roman"/>
          <w:kern w:val="2"/>
        </w:rPr>
        <w:t>100Mbps</w:t>
      </w:r>
      <w:r>
        <w:rPr>
          <w:rFonts w:hint="eastAsia" w:cs="Times New Roman"/>
          <w:kern w:val="2"/>
        </w:rPr>
        <w:t>挑战（</w:t>
      </w:r>
      <w:r>
        <w:rPr>
          <w:rFonts w:cs="Times New Roman"/>
          <w:kern w:val="2"/>
        </w:rPr>
        <w:t>8K/AR/VR</w:t>
      </w:r>
      <w:r>
        <w:rPr>
          <w:rFonts w:hint="eastAsia" w:cs="Times New Roman"/>
          <w:kern w:val="2"/>
        </w:rPr>
        <w:t>）；</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、一般城区上行边缘速率</w:t>
      </w:r>
      <w:r>
        <w:rPr>
          <w:rFonts w:cs="Times New Roman"/>
          <w:kern w:val="2"/>
        </w:rPr>
        <w:t>2Mbps</w:t>
      </w:r>
      <w:r>
        <w:rPr>
          <w:rFonts w:hint="eastAsia" w:cs="Times New Roman"/>
          <w:kern w:val="2"/>
        </w:rPr>
        <w:t>基准支持</w:t>
      </w:r>
      <w:r>
        <w:rPr>
          <w:rFonts w:cs="Times New Roman"/>
          <w:kern w:val="2"/>
        </w:rPr>
        <w:t>720P</w:t>
      </w:r>
      <w:r>
        <w:rPr>
          <w:rFonts w:hint="eastAsia" w:cs="Times New Roman"/>
          <w:kern w:val="2"/>
        </w:rPr>
        <w:t>视频直播，密集城区高热区域上行边缘速率</w:t>
      </w:r>
      <w:r>
        <w:rPr>
          <w:rFonts w:cs="Times New Roman"/>
          <w:kern w:val="2"/>
        </w:rPr>
        <w:t>5Mbps</w:t>
      </w:r>
      <w:r>
        <w:rPr>
          <w:rFonts w:hint="eastAsia" w:cs="Times New Roman"/>
          <w:kern w:val="2"/>
        </w:rPr>
        <w:t>（</w:t>
      </w:r>
      <w:r>
        <w:rPr>
          <w:rFonts w:cs="Times New Roman"/>
          <w:kern w:val="2"/>
        </w:rPr>
        <w:t>1080P</w:t>
      </w:r>
      <w:r>
        <w:rPr>
          <w:rFonts w:hint="eastAsia" w:cs="Times New Roman"/>
          <w:kern w:val="2"/>
        </w:rPr>
        <w:t>）</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w:t>
      </w:r>
      <w:r>
        <w:rPr>
          <w:rFonts w:cs="Times New Roman"/>
          <w:kern w:val="2"/>
        </w:rPr>
        <w:t>5G</w:t>
      </w:r>
      <w:r>
        <w:rPr>
          <w:rFonts w:hint="eastAsia" w:cs="Times New Roman"/>
          <w:kern w:val="2"/>
        </w:rPr>
        <w:t>覆盖受限于上行，</w:t>
      </w:r>
      <w:r>
        <w:rPr>
          <w:rFonts w:cs="Times New Roman"/>
          <w:kern w:val="2"/>
        </w:rPr>
        <w:t>3.5G</w:t>
      </w:r>
      <w:r>
        <w:rPr>
          <w:rFonts w:hint="eastAsia" w:cs="Times New Roman"/>
          <w:kern w:val="2"/>
        </w:rPr>
        <w:t>频段组网，上行边缘速率达到</w:t>
      </w:r>
      <w:r>
        <w:rPr>
          <w:rFonts w:cs="Times New Roman"/>
          <w:kern w:val="2"/>
        </w:rPr>
        <w:t>5Mps</w:t>
      </w:r>
      <w:r>
        <w:rPr>
          <w:rFonts w:hint="eastAsia" w:cs="Times New Roman"/>
          <w:kern w:val="2"/>
        </w:rPr>
        <w:t>，站间距达到</w:t>
      </w:r>
      <w:r>
        <w:rPr>
          <w:rFonts w:cs="Times New Roman"/>
          <w:kern w:val="2"/>
        </w:rPr>
        <w:t>200</w:t>
      </w:r>
      <w:r>
        <w:rPr>
          <w:rFonts w:hint="eastAsia" w:cs="Times New Roman"/>
          <w:kern w:val="2"/>
        </w:rPr>
        <w:t>米左右才能满足。</w:t>
      </w:r>
    </w:p>
    <w:p>
      <w:pPr>
        <w:pStyle w:val="3"/>
      </w:pPr>
      <w:bookmarkStart w:id="44" w:name="_Toc55386009"/>
      <w:bookmarkStart w:id="45" w:name="_Toc56092702"/>
      <w:r>
        <w:t>5G</w:t>
      </w:r>
      <w:r>
        <w:rPr>
          <w:rFonts w:hint="eastAsia"/>
        </w:rPr>
        <w:t>通信综合接入机房规划方法</w:t>
      </w:r>
      <w:bookmarkEnd w:id="44"/>
      <w:bookmarkEnd w:id="45"/>
    </w:p>
    <w:p>
      <w:pPr>
        <w:spacing w:line="360" w:lineRule="auto"/>
        <w:ind w:firstLine="480" w:firstLineChars="200"/>
        <w:jc w:val="both"/>
        <w:rPr>
          <w:rFonts w:cs="Times New Roman"/>
          <w:kern w:val="2"/>
        </w:rPr>
      </w:pPr>
      <w:r>
        <w:rPr>
          <w:rFonts w:hint="eastAsia" w:cs="Times New Roman"/>
          <w:kern w:val="2"/>
        </w:rPr>
        <w:t>综合梁平区现网存量站点分布、运营商</w:t>
      </w:r>
      <w:r>
        <w:rPr>
          <w:rFonts w:cs="Times New Roman"/>
          <w:kern w:val="2"/>
        </w:rPr>
        <w:t>5G</w:t>
      </w:r>
      <w:r>
        <w:rPr>
          <w:rFonts w:hint="eastAsia" w:cs="Times New Roman"/>
          <w:kern w:val="2"/>
        </w:rPr>
        <w:t>需求、电力重点保障及电力资源分布情况，结合用户密集区域、高负荷区域、业务高发区域、转供电占比高区域、电力不稳区域、维护高级别区域、变压器环网柜开闭所位置信息及管道资源信息，将梁平区城区划分为</w:t>
      </w:r>
      <w:r>
        <w:rPr>
          <w:rFonts w:cs="Times New Roman"/>
          <w:kern w:val="2"/>
        </w:rPr>
        <w:t>22</w:t>
      </w:r>
      <w:r>
        <w:rPr>
          <w:rFonts w:hint="eastAsia" w:cs="Times New Roman"/>
          <w:kern w:val="2"/>
        </w:rPr>
        <w:t>个区块。</w:t>
      </w:r>
    </w:p>
    <w:p>
      <w:pPr>
        <w:spacing w:line="360" w:lineRule="auto"/>
        <w:ind w:firstLine="480" w:firstLineChars="200"/>
        <w:jc w:val="both"/>
        <w:rPr>
          <w:rFonts w:cs="Times New Roman"/>
          <w:kern w:val="2"/>
        </w:rPr>
      </w:pPr>
      <w:r>
        <w:rPr>
          <w:rFonts w:cs="Times New Roman"/>
          <w:kern w:val="2"/>
        </w:rPr>
        <w:t>22</w:t>
      </w:r>
      <w:r>
        <w:rPr>
          <w:rFonts w:hint="eastAsia" w:cs="Times New Roman"/>
          <w:kern w:val="2"/>
        </w:rPr>
        <w:t>个区块进行资源信息匹配，优先级排序，现场勘察锁定机房位置及覆盖区域。</w:t>
      </w:r>
    </w:p>
    <w:p>
      <w:pPr>
        <w:spacing w:line="360" w:lineRule="auto"/>
        <w:ind w:firstLine="480" w:firstLineChars="200"/>
        <w:jc w:val="both"/>
        <w:rPr>
          <w:rFonts w:cs="Times New Roman"/>
          <w:kern w:val="2"/>
        </w:rPr>
      </w:pPr>
      <w:r>
        <w:rPr>
          <w:rFonts w:cs="Times New Roman"/>
          <w:kern w:val="2"/>
        </w:rPr>
        <w:t>5G</w:t>
      </w:r>
      <w:r>
        <w:rPr>
          <w:rFonts w:hint="eastAsia" w:cs="Times New Roman"/>
          <w:kern w:val="2"/>
        </w:rPr>
        <w:t>综合接入机房规划标准：</w:t>
      </w:r>
    </w:p>
    <w:p>
      <w:pPr>
        <w:spacing w:line="360" w:lineRule="auto"/>
        <w:ind w:firstLine="480" w:firstLineChars="200"/>
        <w:jc w:val="both"/>
        <w:rPr>
          <w:rFonts w:cs="Times New Roman"/>
          <w:kern w:val="2"/>
        </w:rPr>
      </w:pPr>
      <w:r>
        <w:rPr>
          <w:rFonts w:cs="Times New Roman"/>
          <w:kern w:val="2"/>
        </w:rPr>
        <w:t>1</w:t>
      </w:r>
      <w:r>
        <w:rPr>
          <w:rFonts w:hint="eastAsia" w:cs="Times New Roman"/>
          <w:kern w:val="2"/>
        </w:rPr>
        <w:t>、存量机房原则上考虑进行电源、传输改造，来满足</w:t>
      </w:r>
      <w:r>
        <w:rPr>
          <w:rFonts w:cs="Times New Roman"/>
          <w:kern w:val="2"/>
        </w:rPr>
        <w:t>5G</w:t>
      </w:r>
      <w:r>
        <w:rPr>
          <w:rFonts w:hint="eastAsia" w:cs="Times New Roman"/>
          <w:kern w:val="2"/>
        </w:rPr>
        <w:t>综合接入机房需求。</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、本次在存量机房的基础上，每个区块规划至少</w:t>
      </w:r>
      <w:r>
        <w:rPr>
          <w:rFonts w:cs="Times New Roman"/>
          <w:kern w:val="2"/>
        </w:rPr>
        <w:t>1</w:t>
      </w:r>
      <w:r>
        <w:rPr>
          <w:rFonts w:hint="eastAsia" w:cs="Times New Roman"/>
          <w:kern w:val="2"/>
        </w:rPr>
        <w:t>个</w:t>
      </w:r>
      <w:r>
        <w:rPr>
          <w:rFonts w:cs="Times New Roman"/>
          <w:kern w:val="2"/>
        </w:rPr>
        <w:t>5G</w:t>
      </w:r>
      <w:r>
        <w:rPr>
          <w:rFonts w:hint="eastAsia" w:cs="Times New Roman"/>
          <w:kern w:val="2"/>
        </w:rPr>
        <w:t>综合接入机房满足周边</w:t>
      </w:r>
      <w:r>
        <w:rPr>
          <w:rFonts w:cs="Times New Roman"/>
          <w:kern w:val="2"/>
        </w:rPr>
        <w:t>8</w:t>
      </w:r>
      <w:r>
        <w:rPr>
          <w:rFonts w:hint="eastAsia" w:cs="Times New Roman"/>
          <w:kern w:val="2"/>
        </w:rPr>
        <w:t>至</w:t>
      </w:r>
      <w:r>
        <w:rPr>
          <w:rFonts w:cs="Times New Roman"/>
          <w:kern w:val="2"/>
        </w:rPr>
        <w:t>10</w:t>
      </w:r>
      <w:r>
        <w:rPr>
          <w:rFonts w:hint="eastAsia" w:cs="Times New Roman"/>
          <w:kern w:val="2"/>
        </w:rPr>
        <w:t>个基站远端电源、传输需求。</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、新规划</w:t>
      </w:r>
      <w:r>
        <w:rPr>
          <w:rFonts w:cs="Times New Roman"/>
          <w:kern w:val="2"/>
        </w:rPr>
        <w:t>5G</w:t>
      </w:r>
      <w:r>
        <w:rPr>
          <w:rFonts w:hint="eastAsia" w:cs="Times New Roman"/>
          <w:kern w:val="2"/>
        </w:rPr>
        <w:t>综合接入机房作为</w:t>
      </w:r>
      <w:r>
        <w:rPr>
          <w:rFonts w:cs="Times New Roman"/>
          <w:kern w:val="2"/>
        </w:rPr>
        <w:t>8</w:t>
      </w:r>
      <w:r>
        <w:rPr>
          <w:rFonts w:hint="eastAsia" w:cs="Times New Roman"/>
          <w:kern w:val="2"/>
        </w:rPr>
        <w:t>至</w:t>
      </w:r>
      <w:r>
        <w:rPr>
          <w:rFonts w:cs="Times New Roman"/>
          <w:kern w:val="2"/>
        </w:rPr>
        <w:t>10</w:t>
      </w:r>
      <w:r>
        <w:rPr>
          <w:rFonts w:hint="eastAsia" w:cs="Times New Roman"/>
          <w:kern w:val="2"/>
        </w:rPr>
        <w:t>个基站供电、传输系统的集合点，迁址耗费巨大，应优先考虑设置在绿地、公园等已规划区域。</w:t>
      </w:r>
      <w:r>
        <w:rPr>
          <w:rFonts w:cs="Times New Roman"/>
          <w:kern w:val="2"/>
        </w:rPr>
        <w:br w:type="page"/>
      </w:r>
    </w:p>
    <w:p>
      <w:pPr>
        <w:pStyle w:val="2"/>
      </w:pPr>
      <w:bookmarkStart w:id="46" w:name="_Toc56092703"/>
      <w:bookmarkStart w:id="47" w:name="_Toc460508219"/>
      <w:bookmarkStart w:id="48" w:name="_Toc452964669"/>
      <w:bookmarkStart w:id="49" w:name="_Toc55386010"/>
      <w:r>
        <w:t>5G</w:t>
      </w:r>
      <w:r>
        <w:rPr>
          <w:rFonts w:hint="eastAsia"/>
        </w:rPr>
        <w:t>通信基础设施规划</w:t>
      </w:r>
      <w:bookmarkEnd w:id="46"/>
      <w:bookmarkEnd w:id="47"/>
      <w:bookmarkEnd w:id="48"/>
      <w:bookmarkEnd w:id="49"/>
    </w:p>
    <w:p>
      <w:pPr>
        <w:pStyle w:val="3"/>
        <w:numPr>
          <w:ilvl w:val="0"/>
          <w:numId w:val="17"/>
        </w:numPr>
      </w:pPr>
      <w:bookmarkStart w:id="50" w:name="_Toc55386011"/>
      <w:bookmarkStart w:id="51" w:name="_Toc56092704"/>
      <w:r>
        <w:rPr>
          <w:rFonts w:hint="eastAsia"/>
        </w:rPr>
        <w:t>总体要求</w:t>
      </w:r>
      <w:bookmarkEnd w:id="50"/>
      <w:bookmarkEnd w:id="51"/>
    </w:p>
    <w:p>
      <w:pPr>
        <w:pStyle w:val="7"/>
        <w:numPr>
          <w:ilvl w:val="1"/>
          <w:numId w:val="18"/>
        </w:numPr>
        <w:spacing w:line="360" w:lineRule="auto"/>
        <w:ind w:firstLineChars="0"/>
        <w:rPr>
          <w:rFonts w:ascii="宋体"/>
          <w:sz w:val="24"/>
          <w:szCs w:val="24"/>
        </w:rPr>
      </w:pPr>
      <w:r>
        <w:rPr>
          <w:rFonts w:hint="eastAsia" w:ascii="宋体" w:hAnsi="宋体"/>
          <w:sz w:val="24"/>
          <w:szCs w:val="24"/>
        </w:rPr>
        <w:t>区域内通信设施的建设严格执行《关于推进</w:t>
      </w:r>
      <w:r>
        <w:rPr>
          <w:rFonts w:ascii="宋体" w:hAnsi="宋体"/>
          <w:sz w:val="24"/>
          <w:szCs w:val="24"/>
        </w:rPr>
        <w:t>5G</w:t>
      </w:r>
      <w:r>
        <w:rPr>
          <w:rFonts w:hint="eastAsia" w:ascii="宋体" w:hAnsi="宋体"/>
          <w:sz w:val="24"/>
          <w:szCs w:val="24"/>
        </w:rPr>
        <w:t>通信网建设发展的实施意见》（渝府办发</w:t>
      </w:r>
      <w:r>
        <w:rPr>
          <w:rFonts w:ascii="宋体" w:hAnsi="宋体"/>
          <w:sz w:val="24"/>
          <w:szCs w:val="24"/>
        </w:rPr>
        <w:t>[2019]4</w:t>
      </w:r>
      <w:r>
        <w:rPr>
          <w:rFonts w:hint="eastAsia" w:ascii="宋体" w:hAnsi="宋体"/>
          <w:sz w:val="24"/>
          <w:szCs w:val="24"/>
        </w:rPr>
        <w:t>号）的要求。</w:t>
      </w:r>
    </w:p>
    <w:p>
      <w:pPr>
        <w:pStyle w:val="7"/>
        <w:numPr>
          <w:ilvl w:val="1"/>
          <w:numId w:val="18"/>
        </w:numPr>
        <w:spacing w:line="360" w:lineRule="auto"/>
        <w:ind w:firstLineChars="0"/>
        <w:rPr>
          <w:rFonts w:ascii="宋体"/>
          <w:sz w:val="24"/>
          <w:szCs w:val="24"/>
        </w:rPr>
      </w:pPr>
      <w:r>
        <w:rPr>
          <w:rFonts w:hint="eastAsia" w:ascii="宋体" w:hAnsi="宋体"/>
          <w:sz w:val="24"/>
          <w:szCs w:val="24"/>
        </w:rPr>
        <w:t>推进存量通信杆塔资源开放。支持规划、交通、市政、环保、林业、电力、广电等部门建设基于通信杆塔资源的智能设施，提升智慧城市应用和管理水平。</w:t>
      </w:r>
    </w:p>
    <w:p>
      <w:pPr>
        <w:pStyle w:val="7"/>
        <w:numPr>
          <w:ilvl w:val="1"/>
          <w:numId w:val="18"/>
        </w:numPr>
        <w:spacing w:line="360" w:lineRule="auto"/>
        <w:ind w:firstLineChars="0"/>
        <w:rPr>
          <w:rFonts w:ascii="宋体"/>
          <w:sz w:val="24"/>
          <w:szCs w:val="24"/>
        </w:rPr>
      </w:pPr>
      <w:r>
        <w:rPr>
          <w:rFonts w:hint="eastAsia" w:ascii="宋体" w:hAnsi="宋体"/>
          <w:sz w:val="24"/>
          <w:szCs w:val="24"/>
        </w:rPr>
        <w:t>推进社会杆塔资源开放。在确保功能、保障安全、美观统一的前提下，积极推动路灯杆、电线杆、交通信号杆、视频监控杆等社会杆塔资源开放，全面支持</w:t>
      </w:r>
      <w:r>
        <w:rPr>
          <w:rFonts w:ascii="宋体" w:hAnsi="宋体"/>
          <w:sz w:val="24"/>
          <w:szCs w:val="24"/>
        </w:rPr>
        <w:t>5G</w:t>
      </w:r>
      <w:r>
        <w:rPr>
          <w:rFonts w:hint="eastAsia" w:ascii="宋体" w:hAnsi="宋体"/>
          <w:sz w:val="24"/>
          <w:szCs w:val="24"/>
        </w:rPr>
        <w:t>基站规模部署。</w:t>
      </w:r>
    </w:p>
    <w:p>
      <w:pPr>
        <w:pStyle w:val="7"/>
        <w:numPr>
          <w:ilvl w:val="1"/>
          <w:numId w:val="18"/>
        </w:numPr>
        <w:spacing w:line="360" w:lineRule="auto"/>
        <w:ind w:firstLineChars="0"/>
        <w:rPr>
          <w:rFonts w:ascii="宋体"/>
          <w:sz w:val="24"/>
          <w:szCs w:val="24"/>
        </w:rPr>
      </w:pPr>
      <w:r>
        <w:rPr>
          <w:rFonts w:hint="eastAsia" w:ascii="宋体" w:hAnsi="宋体"/>
          <w:sz w:val="24"/>
          <w:szCs w:val="24"/>
        </w:rPr>
        <w:t>推进公共设施及附属资源开放。加大公共设施及附属设施开放力度，免费开放政府机关、企事业单位、公共机构等所属公共设施资源以及城市道路、绿化带、公共绿地、公园广场、公交站台、校园、客运站场等场所和相关设施，支持</w:t>
      </w:r>
      <w:r>
        <w:rPr>
          <w:rFonts w:ascii="宋体" w:hAnsi="宋体"/>
          <w:sz w:val="24"/>
          <w:szCs w:val="24"/>
        </w:rPr>
        <w:t>5G</w:t>
      </w:r>
      <w:r>
        <w:rPr>
          <w:rFonts w:hint="eastAsia" w:ascii="宋体" w:hAnsi="宋体"/>
          <w:sz w:val="24"/>
          <w:szCs w:val="24"/>
        </w:rPr>
        <w:t>基站及配套设施建设。</w:t>
      </w:r>
    </w:p>
    <w:p>
      <w:pPr>
        <w:pStyle w:val="7"/>
        <w:numPr>
          <w:ilvl w:val="1"/>
          <w:numId w:val="18"/>
        </w:numPr>
        <w:spacing w:line="360" w:lineRule="auto"/>
        <w:ind w:firstLineChars="0"/>
        <w:rPr>
          <w:rFonts w:ascii="宋体"/>
          <w:sz w:val="24"/>
          <w:szCs w:val="24"/>
        </w:rPr>
      </w:pPr>
      <w:r>
        <w:rPr>
          <w:rFonts w:hint="eastAsia" w:ascii="宋体" w:hAnsi="宋体"/>
          <w:sz w:val="24"/>
          <w:szCs w:val="24"/>
        </w:rPr>
        <w:t>推进建筑外墙和天面等资源开放。支持利用住宅建筑、公共建筑、商业建筑等建筑的附属设施开展</w:t>
      </w:r>
      <w:r>
        <w:rPr>
          <w:rFonts w:ascii="宋体" w:hAnsi="宋体"/>
          <w:sz w:val="24"/>
          <w:szCs w:val="24"/>
        </w:rPr>
        <w:t>5G</w:t>
      </w:r>
      <w:r>
        <w:rPr>
          <w:rFonts w:hint="eastAsia" w:ascii="宋体" w:hAnsi="宋体"/>
          <w:sz w:val="24"/>
          <w:szCs w:val="24"/>
        </w:rPr>
        <w:t>基站建设，确保</w:t>
      </w:r>
      <w:r>
        <w:rPr>
          <w:rFonts w:ascii="宋体" w:hAnsi="宋体"/>
          <w:sz w:val="24"/>
          <w:szCs w:val="24"/>
        </w:rPr>
        <w:t>5G</w:t>
      </w:r>
      <w:r>
        <w:rPr>
          <w:rFonts w:hint="eastAsia" w:ascii="宋体" w:hAnsi="宋体"/>
          <w:sz w:val="24"/>
          <w:szCs w:val="24"/>
        </w:rPr>
        <w:t>网络深度覆盖。</w:t>
      </w:r>
    </w:p>
    <w:p>
      <w:pPr>
        <w:pStyle w:val="7"/>
        <w:numPr>
          <w:ilvl w:val="1"/>
          <w:numId w:val="18"/>
        </w:numPr>
        <w:spacing w:line="360" w:lineRule="auto"/>
        <w:ind w:firstLineChars="0"/>
        <w:rPr>
          <w:rFonts w:ascii="宋体"/>
          <w:sz w:val="24"/>
          <w:szCs w:val="24"/>
        </w:rPr>
      </w:pPr>
      <w:r>
        <w:rPr>
          <w:rFonts w:hint="eastAsia" w:ascii="宋体" w:hAnsi="宋体"/>
          <w:sz w:val="24"/>
          <w:szCs w:val="24"/>
        </w:rPr>
        <w:t>区人民政府加强对通信设施建设工作的领导，统筹协调通信设施建设工作中的重大问题。</w:t>
      </w:r>
    </w:p>
    <w:p>
      <w:pPr>
        <w:pStyle w:val="7"/>
        <w:numPr>
          <w:ilvl w:val="1"/>
          <w:numId w:val="18"/>
        </w:numPr>
        <w:spacing w:line="360" w:lineRule="auto"/>
        <w:ind w:firstLineChars="0"/>
        <w:rPr>
          <w:rFonts w:ascii="宋体"/>
          <w:sz w:val="24"/>
          <w:szCs w:val="24"/>
        </w:rPr>
      </w:pPr>
      <w:r>
        <w:rPr>
          <w:rFonts w:hint="eastAsia" w:ascii="宋体" w:hAnsi="宋体"/>
          <w:sz w:val="24"/>
          <w:szCs w:val="24"/>
        </w:rPr>
        <w:t>区人民政府负责本行政区域内通信设施建设工作的组织协调，支持通信设施建设与保护工作。</w:t>
      </w:r>
    </w:p>
    <w:p>
      <w:pPr>
        <w:pStyle w:val="7"/>
        <w:numPr>
          <w:ilvl w:val="1"/>
          <w:numId w:val="18"/>
        </w:numPr>
        <w:spacing w:line="360" w:lineRule="auto"/>
        <w:ind w:firstLineChars="0"/>
        <w:rPr>
          <w:rFonts w:ascii="宋体"/>
          <w:sz w:val="24"/>
          <w:szCs w:val="24"/>
        </w:rPr>
      </w:pPr>
      <w:r>
        <w:rPr>
          <w:rFonts w:hint="eastAsia" w:ascii="宋体" w:hAnsi="宋体"/>
          <w:sz w:val="24"/>
          <w:szCs w:val="24"/>
        </w:rPr>
        <w:t>乡（镇）人民政府、街道办事处协助做好通信设施建设与保护相关工作。</w:t>
      </w:r>
    </w:p>
    <w:p>
      <w:pPr>
        <w:pStyle w:val="7"/>
        <w:numPr>
          <w:ilvl w:val="1"/>
          <w:numId w:val="18"/>
        </w:numPr>
        <w:spacing w:line="360" w:lineRule="auto"/>
        <w:ind w:firstLineChars="0"/>
        <w:rPr>
          <w:rFonts w:ascii="宋体"/>
          <w:sz w:val="24"/>
          <w:szCs w:val="24"/>
        </w:rPr>
      </w:pPr>
      <w:r>
        <w:rPr>
          <w:rFonts w:hint="eastAsia" w:ascii="宋体" w:hAnsi="宋体"/>
          <w:sz w:val="24"/>
          <w:szCs w:val="24"/>
        </w:rPr>
        <w:t>现有通信基础设施受法律保护，对于涉及原有通信基础设施的城市新区建设、道路改扩建等行为，应与通信设施产权归属方协商解决。通信设施产权归属方可在相关法律法规的范围内对现有通信设施进行整改。</w:t>
      </w:r>
    </w:p>
    <w:p>
      <w:pPr>
        <w:pStyle w:val="7"/>
        <w:numPr>
          <w:ilvl w:val="1"/>
          <w:numId w:val="18"/>
        </w:numPr>
        <w:spacing w:line="360" w:lineRule="auto"/>
        <w:ind w:firstLineChars="0"/>
        <w:rPr>
          <w:rFonts w:ascii="宋体"/>
          <w:sz w:val="24"/>
          <w:szCs w:val="24"/>
        </w:rPr>
      </w:pPr>
      <w:r>
        <w:rPr>
          <w:rFonts w:hint="eastAsia" w:ascii="宋体" w:hAnsi="宋体"/>
          <w:sz w:val="24"/>
          <w:szCs w:val="24"/>
        </w:rPr>
        <w:t>通信基础设施通过电池、油机、双路由保护、应急通信车和卫星通信等手段保障人们的应急通信需求。</w:t>
      </w:r>
    </w:p>
    <w:p>
      <w:pPr>
        <w:pStyle w:val="7"/>
        <w:numPr>
          <w:ilvl w:val="1"/>
          <w:numId w:val="18"/>
        </w:numPr>
        <w:spacing w:line="360" w:lineRule="auto"/>
        <w:ind w:firstLineChars="0"/>
        <w:rPr>
          <w:rFonts w:ascii="宋体"/>
          <w:sz w:val="24"/>
          <w:szCs w:val="24"/>
        </w:rPr>
      </w:pPr>
      <w:r>
        <w:rPr>
          <w:rFonts w:hint="eastAsia" w:ascii="宋体" w:hAnsi="宋体"/>
          <w:sz w:val="24"/>
          <w:szCs w:val="24"/>
        </w:rPr>
        <w:t>强化通信网运行安全保障。建立</w:t>
      </w:r>
      <w:r>
        <w:rPr>
          <w:rFonts w:ascii="宋体" w:hAnsi="宋体"/>
          <w:sz w:val="24"/>
          <w:szCs w:val="24"/>
        </w:rPr>
        <w:t>5G</w:t>
      </w:r>
      <w:r>
        <w:rPr>
          <w:rFonts w:hint="eastAsia" w:ascii="宋体" w:hAnsi="宋体"/>
          <w:sz w:val="24"/>
          <w:szCs w:val="24"/>
        </w:rPr>
        <w:t>通信网基础设施保护联动机制，及时制止非法阻挠</w:t>
      </w:r>
      <w:r>
        <w:rPr>
          <w:rFonts w:ascii="宋体" w:hAnsi="宋体"/>
          <w:sz w:val="24"/>
          <w:szCs w:val="24"/>
        </w:rPr>
        <w:t>5G</w:t>
      </w:r>
      <w:r>
        <w:rPr>
          <w:rFonts w:hint="eastAsia" w:ascii="宋体" w:hAnsi="宋体"/>
          <w:sz w:val="24"/>
          <w:szCs w:val="24"/>
        </w:rPr>
        <w:t>通信网建设和维护的行为，依法查处破坏通信基础设施的违法犯罪行为。</w:t>
      </w:r>
    </w:p>
    <w:p>
      <w:pPr>
        <w:pStyle w:val="7"/>
        <w:numPr>
          <w:ilvl w:val="1"/>
          <w:numId w:val="18"/>
        </w:numPr>
        <w:spacing w:line="360" w:lineRule="auto"/>
        <w:ind w:firstLineChars="0"/>
        <w:rPr>
          <w:rFonts w:ascii="宋体"/>
          <w:sz w:val="24"/>
          <w:szCs w:val="24"/>
        </w:rPr>
      </w:pPr>
      <w:r>
        <w:rPr>
          <w:rFonts w:hint="eastAsia" w:ascii="宋体" w:hAnsi="宋体"/>
          <w:sz w:val="24"/>
          <w:szCs w:val="24"/>
        </w:rPr>
        <w:t>规划充分考虑未来通信发展需求，如果规划期内通信技术发展超出了本次规划建设范围，建议进行规划修编。</w:t>
      </w:r>
    </w:p>
    <w:p>
      <w:pPr>
        <w:pStyle w:val="3"/>
        <w:rPr>
          <w:b/>
        </w:rPr>
      </w:pPr>
      <w:bookmarkStart w:id="52" w:name="_Toc55386012"/>
      <w:bookmarkStart w:id="53" w:name="_Toc56092705"/>
      <w:r>
        <w:t>5G</w:t>
      </w:r>
      <w:r>
        <w:rPr>
          <w:rFonts w:hint="eastAsia"/>
        </w:rPr>
        <w:t>通信基站选址通则</w:t>
      </w:r>
      <w:bookmarkEnd w:id="52"/>
      <w:bookmarkEnd w:id="53"/>
    </w:p>
    <w:p>
      <w:pPr>
        <w:pStyle w:val="7"/>
        <w:numPr>
          <w:ilvl w:val="0"/>
          <w:numId w:val="19"/>
        </w:numPr>
        <w:spacing w:line="360" w:lineRule="auto"/>
        <w:ind w:right="302" w:rightChars="126" w:firstLineChars="0"/>
        <w:rPr>
          <w:rFonts w:ascii="宋体"/>
          <w:sz w:val="24"/>
          <w:szCs w:val="24"/>
        </w:rPr>
      </w:pPr>
      <w:r>
        <w:rPr>
          <w:rFonts w:hint="eastAsia" w:ascii="宋体" w:hAnsi="宋体"/>
          <w:sz w:val="24"/>
          <w:szCs w:val="24"/>
        </w:rPr>
        <w:t>选址原则</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1</w:t>
      </w:r>
      <w:r>
        <w:rPr>
          <w:rFonts w:hint="eastAsia" w:cs="Times New Roman"/>
        </w:rPr>
        <w:t>）基站布点应符合相关城乡规划的要求，并坚持布局优化合理、站址资源统筹共享的原则。</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2</w:t>
      </w:r>
      <w:r>
        <w:rPr>
          <w:rFonts w:hint="eastAsia" w:cs="Times New Roman"/>
        </w:rPr>
        <w:t>）移动通信基站宜采用小型化、隐蔽化的建设方案，其天馈线的走向和布局应当与建筑物及周边环境相协调。</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3</w:t>
      </w:r>
      <w:r>
        <w:rPr>
          <w:rFonts w:hint="eastAsia" w:cs="Times New Roman"/>
        </w:rPr>
        <w:t>）移动通信基站选址应符合环境安全、服务方便、技术合理及经济实用原则。与易燃易爆危险区、</w:t>
      </w:r>
      <w:r>
        <w:rPr>
          <w:rFonts w:cs="Times New Roman"/>
        </w:rPr>
        <w:t>35KV</w:t>
      </w:r>
      <w:r>
        <w:rPr>
          <w:rFonts w:hint="eastAsia" w:cs="Times New Roman"/>
        </w:rPr>
        <w:t>及以上级别的变电所等的安全防护距离应满足相关标准要求。</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4</w:t>
      </w:r>
      <w:r>
        <w:rPr>
          <w:rFonts w:hint="eastAsia" w:cs="Times New Roman"/>
        </w:rPr>
        <w:t>）移动通信基站不应接近经常有较大振动、噪音或强电磁环境的场所，也不应接近较强空气污染源或处于其下风向布置。</w:t>
      </w:r>
    </w:p>
    <w:p>
      <w:pPr>
        <w:pStyle w:val="7"/>
        <w:numPr>
          <w:ilvl w:val="0"/>
          <w:numId w:val="19"/>
        </w:numPr>
        <w:spacing w:line="360" w:lineRule="auto"/>
        <w:ind w:right="302" w:rightChars="126" w:firstLineChars="0"/>
        <w:rPr>
          <w:rFonts w:ascii="宋体"/>
          <w:sz w:val="24"/>
          <w:szCs w:val="24"/>
        </w:rPr>
      </w:pPr>
      <w:r>
        <w:rPr>
          <w:rFonts w:hint="eastAsia" w:ascii="宋体" w:hAnsi="宋体"/>
          <w:sz w:val="24"/>
          <w:szCs w:val="24"/>
        </w:rPr>
        <w:t>选址要求</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1</w:t>
      </w:r>
      <w:r>
        <w:rPr>
          <w:rFonts w:hint="eastAsia" w:cs="Times New Roman"/>
        </w:rPr>
        <w:t>）与城市总体规划相衔接的要求</w:t>
      </w:r>
      <w:r>
        <w:rPr>
          <w:rFonts w:cs="Times New Roman"/>
        </w:rPr>
        <w:t xml:space="preserve"> </w:t>
      </w:r>
    </w:p>
    <w:p>
      <w:pPr>
        <w:spacing w:line="360" w:lineRule="auto"/>
        <w:ind w:left="136" w:leftChars="57" w:right="302" w:rightChars="126" w:firstLine="480" w:firstLineChars="200"/>
        <w:rPr>
          <w:rFonts w:cs="Times New Roman"/>
        </w:rPr>
      </w:pPr>
      <w:r>
        <w:rPr>
          <w:rFonts w:hint="eastAsia" w:cs="Times New Roman"/>
        </w:rPr>
        <w:t>基站站址规划布局应与城市总体规划相衔接，在新区开发和旧区改造时，应当将基站等公众通信设施纳入市政设施项目进行统一规划、统一建设。</w:t>
      </w:r>
    </w:p>
    <w:p>
      <w:pPr>
        <w:spacing w:line="360" w:lineRule="auto"/>
        <w:ind w:left="136" w:leftChars="57" w:right="302" w:rightChars="126" w:firstLine="480" w:firstLineChars="200"/>
        <w:rPr>
          <w:rFonts w:cs="Times New Roman"/>
        </w:rPr>
      </w:pPr>
      <w:r>
        <w:rPr>
          <w:rFonts w:hint="eastAsia" w:cs="Times New Roman"/>
        </w:rPr>
        <w:t>公园、生态控制区域和城市道路、高速公路、轨道线路旁设置公共基站时，应站址资源共享，应根据通信容量的需求和本规划的要求预留基站建设用地。各级政府及事业单位办公楼、公共场馆、景区等，以及路灯、道路指示牌等公共设施，在满足要求的前提下，其所有人或管理单位应根据本规划向运营商开放基站建设资源。商务、商业、住宅等其他现状建筑物的产权人和管理单位应当根据本规划或基站详细规划支持室内布线系统和基站建设。</w:t>
      </w:r>
    </w:p>
    <w:p>
      <w:pPr>
        <w:spacing w:line="360" w:lineRule="auto"/>
        <w:ind w:left="136" w:leftChars="57" w:right="302" w:rightChars="126" w:firstLine="480" w:firstLineChars="200"/>
        <w:rPr>
          <w:rFonts w:cs="Times New Roman"/>
        </w:rPr>
      </w:pPr>
      <w:r>
        <w:rPr>
          <w:rFonts w:hint="eastAsia" w:cs="Times New Roman"/>
        </w:rPr>
        <w:t>自然资源部门和投资主管部门在住宅小区、商住楼、非公用办公楼、工业园区等建设项目审批中，明确为通信建设配套预留站址资源的应进行预留，预留标准为：基站密度应不低于</w:t>
      </w:r>
      <w:r>
        <w:rPr>
          <w:rFonts w:cs="Times New Roman"/>
        </w:rPr>
        <w:t>10</w:t>
      </w:r>
      <w:r>
        <w:rPr>
          <w:rFonts w:hint="eastAsia" w:cs="Times New Roman"/>
        </w:rPr>
        <w:t>个基站</w:t>
      </w:r>
      <w:r>
        <w:rPr>
          <w:rFonts w:cs="Times New Roman"/>
        </w:rPr>
        <w:t>/</w:t>
      </w:r>
      <w:r>
        <w:rPr>
          <w:rFonts w:hint="eastAsia" w:cs="Times New Roman"/>
        </w:rPr>
        <w:t>平方公里</w:t>
      </w:r>
      <w:r>
        <w:rPr>
          <w:rFonts w:cs="Times New Roman"/>
        </w:rPr>
        <w:t>/</w:t>
      </w:r>
      <w:r>
        <w:rPr>
          <w:rFonts w:hint="eastAsia" w:cs="Times New Roman"/>
        </w:rPr>
        <w:t>运营商，多家运营商共享；大型商业综合体、写字楼、超过</w:t>
      </w:r>
      <w:r>
        <w:rPr>
          <w:rFonts w:cs="Times New Roman"/>
        </w:rPr>
        <w:t>15</w:t>
      </w:r>
      <w:r>
        <w:rPr>
          <w:rFonts w:hint="eastAsia" w:cs="Times New Roman"/>
        </w:rPr>
        <w:t>层楼的高层住宅应预留室内分布系统建设资源；超过</w:t>
      </w:r>
      <w:r>
        <w:rPr>
          <w:rFonts w:cs="Times New Roman"/>
        </w:rPr>
        <w:t>8</w:t>
      </w:r>
      <w:r>
        <w:rPr>
          <w:rFonts w:hint="eastAsia" w:cs="Times New Roman"/>
        </w:rPr>
        <w:t>座以上单体建筑的新建小区应预留小区分布系统资源。</w:t>
      </w:r>
    </w:p>
    <w:p>
      <w:pPr>
        <w:spacing w:line="360" w:lineRule="auto"/>
        <w:ind w:left="136" w:leftChars="57" w:right="302" w:rightChars="126" w:firstLine="480" w:firstLineChars="200"/>
        <w:rPr>
          <w:rFonts w:cs="Times New Roman"/>
        </w:rPr>
      </w:pPr>
      <w:r>
        <w:rPr>
          <w:rFonts w:hint="eastAsia" w:cs="Times New Roman"/>
        </w:rPr>
        <w:t>对高层建筑地下室应确保通信基站信号的覆盖，可采用室内分布建设方式或微基站方式保证信号覆盖。避免网络时延、通信中断，紧急避险救助电话不通，次生事故的发生。</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2</w:t>
      </w:r>
      <w:r>
        <w:rPr>
          <w:rFonts w:hint="eastAsia" w:cs="Times New Roman"/>
        </w:rPr>
        <w:t>）与城市环境风貌相协调的要求</w:t>
      </w:r>
    </w:p>
    <w:p>
      <w:pPr>
        <w:spacing w:line="360" w:lineRule="auto"/>
        <w:ind w:left="136" w:leftChars="57" w:right="302" w:rightChars="126" w:firstLine="480" w:firstLineChars="200"/>
        <w:rPr>
          <w:rFonts w:cs="Times New Roman"/>
        </w:rPr>
      </w:pPr>
      <w:r>
        <w:rPr>
          <w:rFonts w:hint="eastAsia" w:cs="Times New Roman"/>
        </w:rPr>
        <w:t>通信基站选址应符合城市历史文化街区保护和城市景观风貌及市容、市貌的要求，与周边环境相协调。</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3</w:t>
      </w:r>
      <w:r>
        <w:rPr>
          <w:rFonts w:hint="eastAsia" w:cs="Times New Roman"/>
        </w:rPr>
        <w:t>）满足无线覆盖的要求</w:t>
      </w:r>
    </w:p>
    <w:p>
      <w:pPr>
        <w:spacing w:line="360" w:lineRule="auto"/>
        <w:ind w:left="136" w:leftChars="57" w:right="302" w:rightChars="126" w:firstLine="480" w:firstLineChars="200"/>
        <w:rPr>
          <w:rFonts w:cs="Times New Roman"/>
        </w:rPr>
      </w:pPr>
      <w:r>
        <w:rPr>
          <w:rFonts w:hint="eastAsia" w:cs="Times New Roman"/>
        </w:rPr>
        <w:t>通信基础设施规划应满足城乡区域移动网络覆盖和网络容量等要求。应充分考虑基站的有效覆盖范围，结合用户和业务的分布情况，合理选择站址，实现目标区域的有效覆盖。同时根据基站的重要性，设置一定比例的室内机房，并提供相应的配套措施（如电源备份、传输保护等），为自然灾害、应急抢险等提供通信保障服务。</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4</w:t>
      </w:r>
      <w:r>
        <w:rPr>
          <w:rFonts w:hint="eastAsia" w:cs="Times New Roman"/>
        </w:rPr>
        <w:t>）天线挂高要求</w:t>
      </w:r>
    </w:p>
    <w:p>
      <w:pPr>
        <w:spacing w:line="360" w:lineRule="auto"/>
        <w:ind w:left="136" w:leftChars="57" w:right="302" w:rightChars="126" w:firstLine="480" w:firstLineChars="200"/>
        <w:rPr>
          <w:rFonts w:cs="Times New Roman"/>
        </w:rPr>
      </w:pPr>
      <w:r>
        <w:rPr>
          <w:rFonts w:hint="eastAsia" w:cs="Times New Roman"/>
        </w:rPr>
        <w:t>通信基站站址应尽量平均分布，天线高度满足覆盖需求，并与周边站点基本保持一致。严格控制超高站（站高大于</w:t>
      </w:r>
      <w:r>
        <w:rPr>
          <w:rFonts w:cs="Times New Roman"/>
        </w:rPr>
        <w:t>50m</w:t>
      </w:r>
      <w:r>
        <w:rPr>
          <w:rFonts w:hint="eastAsia" w:cs="Times New Roman"/>
        </w:rPr>
        <w:t>或高于周边建筑</w:t>
      </w:r>
      <w:r>
        <w:rPr>
          <w:rFonts w:cs="Times New Roman"/>
        </w:rPr>
        <w:t>15m</w:t>
      </w:r>
      <w:r>
        <w:rPr>
          <w:rFonts w:hint="eastAsia" w:cs="Times New Roman"/>
        </w:rPr>
        <w:t>）、超低站（站高低于</w:t>
      </w:r>
      <w:r>
        <w:rPr>
          <w:rFonts w:cs="Times New Roman"/>
        </w:rPr>
        <w:t>10m</w:t>
      </w:r>
      <w:r>
        <w:rPr>
          <w:rFonts w:hint="eastAsia" w:cs="Times New Roman"/>
        </w:rPr>
        <w:t>）、超近站（站距小于</w:t>
      </w:r>
      <w:r>
        <w:rPr>
          <w:rFonts w:cs="Times New Roman"/>
        </w:rPr>
        <w:t>100m</w:t>
      </w:r>
      <w:r>
        <w:rPr>
          <w:rFonts w:hint="eastAsia" w:cs="Times New Roman"/>
        </w:rPr>
        <w:t>）。</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5</w:t>
      </w:r>
      <w:r>
        <w:rPr>
          <w:rFonts w:hint="eastAsia" w:cs="Times New Roman"/>
        </w:rPr>
        <w:t>）场地的要求</w:t>
      </w:r>
    </w:p>
    <w:p>
      <w:pPr>
        <w:spacing w:line="360" w:lineRule="auto"/>
        <w:ind w:left="136" w:leftChars="57" w:right="302" w:rightChars="126" w:firstLine="480" w:firstLineChars="200"/>
        <w:rPr>
          <w:rFonts w:cs="Times New Roman"/>
        </w:rPr>
      </w:pPr>
      <w:r>
        <w:rPr>
          <w:rFonts w:hint="eastAsia" w:cs="Times New Roman"/>
        </w:rPr>
        <w:t>通信基站应充分考虑安全要求，考虑建设维护的方便，选择安全、卫生、无强干扰的站址，同时需考虑管线资源的分布，便于传输管线资源进出，尽量选址交通便利区域，便于日常维护。避开易燃、易爆、易受洪水淹没的区域，雷击区要做好防雷措施，避开临时建筑、烂尾楼，以及军事禁区等敏感区。</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6</w:t>
      </w:r>
      <w:r>
        <w:rPr>
          <w:rFonts w:hint="eastAsia" w:cs="Times New Roman"/>
        </w:rPr>
        <w:t>）环境保护的要求</w:t>
      </w:r>
    </w:p>
    <w:p>
      <w:pPr>
        <w:spacing w:line="360" w:lineRule="auto"/>
        <w:ind w:left="136" w:leftChars="57" w:right="302" w:rightChars="126" w:firstLine="480" w:firstLineChars="200"/>
        <w:rPr>
          <w:rFonts w:cs="Times New Roman"/>
        </w:rPr>
      </w:pPr>
      <w:r>
        <w:rPr>
          <w:rFonts w:hint="eastAsia" w:cs="Times New Roman"/>
        </w:rPr>
        <w:t>通信基站建设应符合关于无线电台系统管理，电磁辐射安全防护、卫生及环境等方面的标准、规范和要求；站址选址须符合环境保护和电磁辐射防护规定的有关指标要求。节约用地，不占或少占农田。</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7</w:t>
      </w:r>
      <w:r>
        <w:rPr>
          <w:rFonts w:hint="eastAsia" w:cs="Times New Roman"/>
        </w:rPr>
        <w:t>）其他要求</w:t>
      </w:r>
    </w:p>
    <w:p>
      <w:pPr>
        <w:spacing w:line="360" w:lineRule="auto"/>
        <w:ind w:left="136" w:leftChars="57" w:right="302" w:rightChars="126" w:firstLine="480" w:firstLineChars="200"/>
        <w:rPr>
          <w:rFonts w:cs="Times New Roman"/>
        </w:rPr>
      </w:pPr>
      <w:r>
        <w:rPr>
          <w:rFonts w:hint="eastAsia" w:cs="Times New Roman"/>
        </w:rPr>
        <w:t>站址选择应满足通信安全保密、国防、人防、消防等要求。</w:t>
      </w:r>
    </w:p>
    <w:p>
      <w:pPr>
        <w:pStyle w:val="7"/>
        <w:numPr>
          <w:ilvl w:val="0"/>
          <w:numId w:val="19"/>
        </w:numPr>
        <w:spacing w:line="360" w:lineRule="auto"/>
        <w:ind w:right="302" w:rightChars="126" w:firstLineChars="0"/>
        <w:rPr>
          <w:rFonts w:ascii="宋体"/>
          <w:sz w:val="24"/>
          <w:szCs w:val="24"/>
        </w:rPr>
      </w:pPr>
      <w:r>
        <w:rPr>
          <w:rFonts w:hint="eastAsia" w:ascii="宋体" w:hAnsi="宋体"/>
          <w:sz w:val="24"/>
          <w:szCs w:val="24"/>
        </w:rPr>
        <w:t>选址排序</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1</w:t>
      </w:r>
      <w:r>
        <w:rPr>
          <w:rFonts w:hint="eastAsia" w:cs="Times New Roman"/>
        </w:rPr>
        <w:t>）楼面站站址选择排序</w:t>
      </w:r>
    </w:p>
    <w:p>
      <w:pPr>
        <w:spacing w:line="360" w:lineRule="auto"/>
        <w:ind w:left="136" w:leftChars="57" w:right="302" w:rightChars="126" w:firstLine="480" w:firstLineChars="200"/>
        <w:rPr>
          <w:rFonts w:cs="Times New Roman"/>
        </w:rPr>
      </w:pPr>
      <w:r>
        <w:rPr>
          <w:rFonts w:hint="eastAsia" w:cs="Times New Roman"/>
        </w:rPr>
        <w:t>优先依托原有塔桅、建筑物设置的原则，确需新建楼面站的，以不影响景观设置为基础；在选址排序上，按照利用原有塔桅、政府机构办公建筑、行政事业单位建筑、市政公用设施建筑、公共服务设施建筑、商业办公建筑、工业和仓储建筑、宾馆酒店、新建居住建筑、现状居住建筑的先后顺序，强化基站与城市其他公共设施的集约共享。</w:t>
      </w:r>
      <w:r>
        <w:rPr>
          <w:rFonts w:cs="Times New Roman"/>
        </w:rPr>
        <w:t xml:space="preserve"> </w:t>
      </w:r>
    </w:p>
    <w:p>
      <w:pPr>
        <w:spacing w:line="360" w:lineRule="auto"/>
        <w:ind w:left="136" w:leftChars="57" w:right="302" w:rightChars="126" w:firstLine="480" w:firstLineChars="200"/>
        <w:rPr>
          <w:rFonts w:cs="Times New Roman"/>
        </w:rPr>
      </w:pPr>
      <w:r>
        <w:rPr>
          <w:rFonts w:hint="eastAsia" w:cs="Times New Roman"/>
        </w:rPr>
        <w:t>（</w:t>
      </w:r>
      <w:r>
        <w:rPr>
          <w:rFonts w:cs="Times New Roman"/>
        </w:rPr>
        <w:t>2</w:t>
      </w:r>
      <w:r>
        <w:rPr>
          <w:rFonts w:hint="eastAsia" w:cs="Times New Roman"/>
        </w:rPr>
        <w:t>）地面站站址选择排序</w:t>
      </w:r>
    </w:p>
    <w:p>
      <w:pPr>
        <w:pStyle w:val="7"/>
        <w:tabs>
          <w:tab w:val="left" w:pos="2681"/>
        </w:tabs>
        <w:spacing w:line="360" w:lineRule="auto"/>
        <w:ind w:left="426" w:firstLine="0" w:firstLineChars="0"/>
        <w:rPr>
          <w:rFonts w:ascii="黑体" w:hAnsi="黑体" w:eastAsia="黑体"/>
          <w:b/>
          <w:sz w:val="28"/>
          <w:szCs w:val="28"/>
        </w:rPr>
      </w:pPr>
      <w:r>
        <w:rPr>
          <w:rFonts w:hint="eastAsia" w:ascii="宋体" w:hAnsi="宋体"/>
          <w:sz w:val="24"/>
          <w:szCs w:val="24"/>
        </w:rPr>
        <w:t>一般顺序为：沿城市道路的绿化带、道路红线内的绿化分隔岛、城市公园广场、其他用地内的开敞空间。</w:t>
      </w:r>
    </w:p>
    <w:p>
      <w:pPr>
        <w:pStyle w:val="3"/>
        <w:rPr>
          <w:b/>
        </w:rPr>
      </w:pPr>
      <w:bookmarkStart w:id="54" w:name="_Toc55386013"/>
      <w:bookmarkStart w:id="55" w:name="_Toc56092706"/>
      <w:r>
        <w:t>5G</w:t>
      </w:r>
      <w:r>
        <w:rPr>
          <w:rFonts w:hint="eastAsia"/>
        </w:rPr>
        <w:t>通信基站建设形式</w:t>
      </w:r>
      <w:bookmarkEnd w:id="54"/>
      <w:bookmarkEnd w:id="55"/>
    </w:p>
    <w:p>
      <w:pPr>
        <w:pStyle w:val="7"/>
        <w:numPr>
          <w:ilvl w:val="0"/>
          <w:numId w:val="20"/>
        </w:numPr>
        <w:spacing w:line="360" w:lineRule="auto"/>
        <w:ind w:right="302" w:rightChars="126" w:firstLineChars="0"/>
        <w:rPr>
          <w:rFonts w:ascii="宋体"/>
          <w:sz w:val="24"/>
          <w:szCs w:val="24"/>
        </w:rPr>
      </w:pPr>
      <w:r>
        <w:rPr>
          <w:rFonts w:hint="eastAsia" w:ascii="宋体" w:hAnsi="宋体"/>
          <w:sz w:val="24"/>
          <w:szCs w:val="24"/>
        </w:rPr>
        <w:t>基站塔型选择</w:t>
      </w:r>
    </w:p>
    <w:p>
      <w:pPr>
        <w:spacing w:line="360" w:lineRule="auto"/>
        <w:ind w:left="136" w:leftChars="57" w:right="302" w:rightChars="126" w:firstLine="480" w:firstLineChars="200"/>
        <w:rPr>
          <w:rFonts w:cs="Times New Roman"/>
        </w:rPr>
      </w:pPr>
      <w:r>
        <w:rPr>
          <w:rFonts w:hint="eastAsia" w:cs="Times New Roman"/>
        </w:rPr>
        <w:t>基站塔型必须与周边环境相适应，选择对环境影响较小的形式，与周边相融合。</w:t>
      </w:r>
    </w:p>
    <w:p>
      <w:pPr>
        <w:spacing w:line="360" w:lineRule="auto"/>
        <w:ind w:left="136" w:leftChars="57" w:right="302" w:rightChars="126" w:firstLine="480" w:firstLineChars="200"/>
        <w:rPr>
          <w:rFonts w:cs="Times New Roman"/>
        </w:rPr>
      </w:pPr>
      <w:r>
        <w:rPr>
          <w:rFonts w:hint="eastAsia" w:cs="Times New Roman"/>
        </w:rPr>
        <w:t>在城市紫线范围内，以及重要景观节点等地段不得设置拉线塔、角钢塔、三管塔，应采用景观塔、路灯杆塔；在工业园区内不得设置拉线塔、角钢塔等，应结合道路采用路灯杆塔或利用工业厂房、办公楼屋顶设置美化天线。</w:t>
      </w:r>
    </w:p>
    <w:p>
      <w:pPr>
        <w:pStyle w:val="8"/>
        <w:spacing w:before="65" w:after="65"/>
      </w:pPr>
      <w:r>
        <w:rPr>
          <w:rFonts w:hint="eastAsia"/>
        </w:rPr>
        <w:t>表</w:t>
      </w:r>
      <w:r>
        <w:t xml:space="preserve">4-1 </w:t>
      </w:r>
      <w:r>
        <w:rPr>
          <w:rFonts w:hint="eastAsia"/>
        </w:rPr>
        <w:t>基站塔型建设指引一览表</w:t>
      </w:r>
    </w:p>
    <w:tbl>
      <w:tblPr>
        <w:tblStyle w:val="30"/>
        <w:tblW w:w="4957" w:type="pct"/>
        <w:jc w:val="center"/>
        <w:tblLayout w:type="autofit"/>
        <w:tblCellMar>
          <w:top w:w="0" w:type="dxa"/>
          <w:left w:w="108" w:type="dxa"/>
          <w:bottom w:w="0" w:type="dxa"/>
          <w:right w:w="108" w:type="dxa"/>
        </w:tblCellMar>
      </w:tblPr>
      <w:tblGrid>
        <w:gridCol w:w="1632"/>
        <w:gridCol w:w="2380"/>
        <w:gridCol w:w="5454"/>
      </w:tblGrid>
      <w:tr>
        <w:tblPrEx>
          <w:tblCellMar>
            <w:top w:w="0" w:type="dxa"/>
            <w:left w:w="108" w:type="dxa"/>
            <w:bottom w:w="0" w:type="dxa"/>
            <w:right w:w="108" w:type="dxa"/>
          </w:tblCellMar>
        </w:tblPrEx>
        <w:trPr>
          <w:trHeight w:val="312" w:hRule="atLeast"/>
          <w:tblHeader/>
          <w:jc w:val="center"/>
        </w:trPr>
        <w:tc>
          <w:tcPr>
            <w:tcW w:w="862" w:type="pct"/>
            <w:tcBorders>
              <w:top w:val="single" w:color="auto" w:sz="4" w:space="0"/>
              <w:left w:val="single" w:color="auto" w:sz="4" w:space="0"/>
              <w:bottom w:val="single" w:color="auto" w:sz="4" w:space="0"/>
              <w:right w:val="single" w:color="auto" w:sz="4" w:space="0"/>
            </w:tcBorders>
            <w:vAlign w:val="center"/>
          </w:tcPr>
          <w:p>
            <w:pPr>
              <w:topLinePunct/>
              <w:spacing w:line="360" w:lineRule="auto"/>
              <w:ind w:right="302" w:rightChars="126"/>
              <w:jc w:val="center"/>
              <w:rPr>
                <w:rFonts w:cs="Times New Roman"/>
              </w:rPr>
            </w:pPr>
            <w:r>
              <w:rPr>
                <w:rFonts w:hint="eastAsia" w:cs="Times New Roman"/>
              </w:rPr>
              <w:t>类别</w:t>
            </w:r>
          </w:p>
        </w:tc>
        <w:tc>
          <w:tcPr>
            <w:tcW w:w="1257" w:type="pct"/>
            <w:tcBorders>
              <w:top w:val="single" w:color="auto" w:sz="4" w:space="0"/>
              <w:left w:val="nil"/>
              <w:bottom w:val="single" w:color="auto" w:sz="4" w:space="0"/>
              <w:right w:val="single" w:color="auto" w:sz="4" w:space="0"/>
            </w:tcBorders>
            <w:vAlign w:val="center"/>
          </w:tcPr>
          <w:p>
            <w:pPr>
              <w:topLinePunct/>
              <w:spacing w:line="360" w:lineRule="auto"/>
              <w:ind w:right="302" w:rightChars="126"/>
              <w:jc w:val="center"/>
              <w:rPr>
                <w:rFonts w:cs="Times New Roman"/>
              </w:rPr>
            </w:pPr>
            <w:r>
              <w:rPr>
                <w:rFonts w:hint="eastAsia" w:cs="Times New Roman"/>
              </w:rPr>
              <w:t>塔型</w:t>
            </w:r>
          </w:p>
        </w:tc>
        <w:tc>
          <w:tcPr>
            <w:tcW w:w="2881" w:type="pct"/>
            <w:tcBorders>
              <w:top w:val="single" w:color="auto" w:sz="4" w:space="0"/>
              <w:left w:val="nil"/>
              <w:bottom w:val="single" w:color="auto" w:sz="4" w:space="0"/>
              <w:right w:val="single" w:color="auto" w:sz="4" w:space="0"/>
            </w:tcBorders>
            <w:vAlign w:val="center"/>
          </w:tcPr>
          <w:p>
            <w:pPr>
              <w:topLinePunct/>
              <w:spacing w:line="360" w:lineRule="auto"/>
              <w:ind w:right="302" w:rightChars="126"/>
              <w:jc w:val="center"/>
              <w:rPr>
                <w:rFonts w:cs="Times New Roman"/>
              </w:rPr>
            </w:pPr>
            <w:r>
              <w:rPr>
                <w:rFonts w:hint="eastAsia" w:cs="Times New Roman"/>
              </w:rPr>
              <w:t>备注</w:t>
            </w:r>
          </w:p>
        </w:tc>
      </w:tr>
      <w:tr>
        <w:tblPrEx>
          <w:tblCellMar>
            <w:top w:w="0" w:type="dxa"/>
            <w:left w:w="108" w:type="dxa"/>
            <w:bottom w:w="0" w:type="dxa"/>
            <w:right w:w="108" w:type="dxa"/>
          </w:tblCellMar>
        </w:tblPrEx>
        <w:trPr>
          <w:trHeight w:val="312" w:hRule="atLeast"/>
          <w:jc w:val="center"/>
        </w:trPr>
        <w:tc>
          <w:tcPr>
            <w:tcW w:w="862" w:type="pct"/>
            <w:tcBorders>
              <w:top w:val="nil"/>
              <w:left w:val="single" w:color="auto" w:sz="4" w:space="0"/>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住宅小区</w:t>
            </w:r>
          </w:p>
        </w:tc>
        <w:tc>
          <w:tcPr>
            <w:tcW w:w="1257" w:type="pct"/>
            <w:tcBorders>
              <w:top w:val="nil"/>
              <w:left w:val="nil"/>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楼顶塔、路灯杆</w:t>
            </w:r>
            <w:r>
              <w:rPr>
                <w:rFonts w:cs="Times New Roman"/>
              </w:rPr>
              <w:br w:type="textWrapping"/>
            </w:r>
            <w:r>
              <w:rPr>
                <w:rFonts w:hint="eastAsia" w:cs="Times New Roman"/>
              </w:rPr>
              <w:t>塔、美化塔</w:t>
            </w:r>
          </w:p>
        </w:tc>
        <w:tc>
          <w:tcPr>
            <w:tcW w:w="2881" w:type="pct"/>
            <w:tcBorders>
              <w:top w:val="nil"/>
              <w:left w:val="nil"/>
              <w:bottom w:val="single" w:color="auto" w:sz="4" w:space="0"/>
              <w:right w:val="single" w:color="auto" w:sz="4" w:space="0"/>
            </w:tcBorders>
          </w:tcPr>
          <w:p>
            <w:pPr>
              <w:topLinePunct/>
              <w:spacing w:line="360" w:lineRule="auto"/>
              <w:ind w:right="302" w:rightChars="126"/>
              <w:rPr>
                <w:rFonts w:cs="Times New Roman"/>
              </w:rPr>
            </w:pPr>
            <w:r>
              <w:rPr>
                <w:rFonts w:hint="eastAsia" w:cs="Times New Roman"/>
              </w:rPr>
              <w:t>建筑高度超过</w:t>
            </w:r>
            <w:r>
              <w:rPr>
                <w:rFonts w:cs="Times New Roman"/>
              </w:rPr>
              <w:t xml:space="preserve"> 50m</w:t>
            </w:r>
            <w:r>
              <w:rPr>
                <w:rFonts w:hint="eastAsia" w:cs="Times New Roman"/>
              </w:rPr>
              <w:t>时，使用美化塔无适合高度楼顶建站时，结合小区内路灯杆设置</w:t>
            </w:r>
          </w:p>
        </w:tc>
      </w:tr>
      <w:tr>
        <w:tblPrEx>
          <w:tblCellMar>
            <w:top w:w="0" w:type="dxa"/>
            <w:left w:w="108" w:type="dxa"/>
            <w:bottom w:w="0" w:type="dxa"/>
            <w:right w:w="108" w:type="dxa"/>
          </w:tblCellMar>
        </w:tblPrEx>
        <w:trPr>
          <w:trHeight w:val="908" w:hRule="atLeast"/>
          <w:jc w:val="center"/>
        </w:trPr>
        <w:tc>
          <w:tcPr>
            <w:tcW w:w="862" w:type="pct"/>
            <w:tcBorders>
              <w:top w:val="nil"/>
              <w:left w:val="single" w:color="auto" w:sz="4" w:space="0"/>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大型公共建筑区域</w:t>
            </w:r>
          </w:p>
        </w:tc>
        <w:tc>
          <w:tcPr>
            <w:tcW w:w="1257" w:type="pct"/>
            <w:tcBorders>
              <w:top w:val="nil"/>
              <w:left w:val="nil"/>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楼顶塔、路灯杆塔、美化塔</w:t>
            </w:r>
          </w:p>
        </w:tc>
        <w:tc>
          <w:tcPr>
            <w:tcW w:w="2881" w:type="pct"/>
            <w:tcBorders>
              <w:top w:val="nil"/>
              <w:left w:val="nil"/>
              <w:bottom w:val="single" w:color="auto" w:sz="4" w:space="0"/>
              <w:right w:val="single" w:color="auto" w:sz="4" w:space="0"/>
            </w:tcBorders>
          </w:tcPr>
          <w:p>
            <w:pPr>
              <w:topLinePunct/>
              <w:spacing w:line="360" w:lineRule="auto"/>
              <w:ind w:right="302" w:rightChars="126"/>
              <w:rPr>
                <w:rFonts w:cs="Times New Roman"/>
              </w:rPr>
            </w:pPr>
            <w:r>
              <w:rPr>
                <w:rFonts w:hint="eastAsia" w:cs="Times New Roman"/>
              </w:rPr>
              <w:t>建筑高度超过</w:t>
            </w:r>
            <w:r>
              <w:rPr>
                <w:rFonts w:cs="Times New Roman"/>
              </w:rPr>
              <w:t xml:space="preserve"> 50m</w:t>
            </w:r>
            <w:r>
              <w:rPr>
                <w:rFonts w:hint="eastAsia" w:cs="Times New Roman"/>
              </w:rPr>
              <w:t>时，使用美化塔；无适合高度楼顶建站时，结合公共室外广场高杆灯设置</w:t>
            </w:r>
          </w:p>
        </w:tc>
      </w:tr>
      <w:tr>
        <w:tblPrEx>
          <w:tblCellMar>
            <w:top w:w="0" w:type="dxa"/>
            <w:left w:w="108" w:type="dxa"/>
            <w:bottom w:w="0" w:type="dxa"/>
            <w:right w:w="108" w:type="dxa"/>
          </w:tblCellMar>
        </w:tblPrEx>
        <w:trPr>
          <w:trHeight w:val="312" w:hRule="atLeast"/>
          <w:jc w:val="center"/>
        </w:trPr>
        <w:tc>
          <w:tcPr>
            <w:tcW w:w="862" w:type="pct"/>
            <w:tcBorders>
              <w:top w:val="nil"/>
              <w:left w:val="single" w:color="auto" w:sz="4" w:space="0"/>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厂区、仓储物流区</w:t>
            </w:r>
          </w:p>
        </w:tc>
        <w:tc>
          <w:tcPr>
            <w:tcW w:w="1257" w:type="pct"/>
            <w:tcBorders>
              <w:top w:val="nil"/>
              <w:left w:val="nil"/>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楼顶塔、路灯杆塔</w:t>
            </w:r>
          </w:p>
        </w:tc>
        <w:tc>
          <w:tcPr>
            <w:tcW w:w="2881" w:type="pct"/>
            <w:tcBorders>
              <w:top w:val="nil"/>
              <w:left w:val="nil"/>
              <w:bottom w:val="single" w:color="auto" w:sz="4" w:space="0"/>
              <w:right w:val="single" w:color="auto" w:sz="4" w:space="0"/>
            </w:tcBorders>
          </w:tcPr>
          <w:p>
            <w:pPr>
              <w:topLinePunct/>
              <w:spacing w:line="360" w:lineRule="auto"/>
              <w:ind w:right="302" w:rightChars="126"/>
              <w:rPr>
                <w:rFonts w:cs="Times New Roman"/>
              </w:rPr>
            </w:pPr>
            <w:r>
              <w:rPr>
                <w:rFonts w:hint="eastAsia" w:cs="Times New Roman"/>
              </w:rPr>
              <w:t>优先在适合高度楼顶设置</w:t>
            </w:r>
          </w:p>
        </w:tc>
      </w:tr>
      <w:tr>
        <w:tblPrEx>
          <w:tblCellMar>
            <w:top w:w="0" w:type="dxa"/>
            <w:left w:w="108" w:type="dxa"/>
            <w:bottom w:w="0" w:type="dxa"/>
            <w:right w:w="108" w:type="dxa"/>
          </w:tblCellMar>
        </w:tblPrEx>
        <w:trPr>
          <w:trHeight w:val="312" w:hRule="atLeast"/>
          <w:jc w:val="center"/>
        </w:trPr>
        <w:tc>
          <w:tcPr>
            <w:tcW w:w="862" w:type="pct"/>
            <w:tcBorders>
              <w:top w:val="nil"/>
              <w:left w:val="single" w:color="auto" w:sz="4" w:space="0"/>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城市公园</w:t>
            </w:r>
          </w:p>
        </w:tc>
        <w:tc>
          <w:tcPr>
            <w:tcW w:w="1257" w:type="pct"/>
            <w:tcBorders>
              <w:top w:val="nil"/>
              <w:left w:val="nil"/>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路灯杆塔、景观塔</w:t>
            </w:r>
          </w:p>
        </w:tc>
        <w:tc>
          <w:tcPr>
            <w:tcW w:w="2881" w:type="pct"/>
            <w:tcBorders>
              <w:top w:val="nil"/>
              <w:left w:val="nil"/>
              <w:bottom w:val="single" w:color="auto" w:sz="4" w:space="0"/>
              <w:right w:val="single" w:color="auto" w:sz="4" w:space="0"/>
            </w:tcBorders>
          </w:tcPr>
          <w:p>
            <w:pPr>
              <w:topLinePunct/>
              <w:spacing w:line="360" w:lineRule="auto"/>
              <w:ind w:right="302" w:rightChars="126"/>
              <w:rPr>
                <w:rFonts w:cs="Times New Roman"/>
              </w:rPr>
            </w:pPr>
            <w:r>
              <w:rPr>
                <w:rFonts w:hint="eastAsia" w:cs="Times New Roman"/>
              </w:rPr>
              <w:t>优先结合路灯设置、设置景观塔时结合公园景观</w:t>
            </w:r>
          </w:p>
        </w:tc>
      </w:tr>
      <w:tr>
        <w:tblPrEx>
          <w:tblCellMar>
            <w:top w:w="0" w:type="dxa"/>
            <w:left w:w="108" w:type="dxa"/>
            <w:bottom w:w="0" w:type="dxa"/>
            <w:right w:w="108" w:type="dxa"/>
          </w:tblCellMar>
        </w:tblPrEx>
        <w:trPr>
          <w:trHeight w:val="312" w:hRule="atLeast"/>
          <w:jc w:val="center"/>
        </w:trPr>
        <w:tc>
          <w:tcPr>
            <w:tcW w:w="862" w:type="pct"/>
            <w:tcBorders>
              <w:top w:val="nil"/>
              <w:left w:val="single" w:color="auto" w:sz="4" w:space="0"/>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风景区</w:t>
            </w:r>
          </w:p>
        </w:tc>
        <w:tc>
          <w:tcPr>
            <w:tcW w:w="1257" w:type="pct"/>
            <w:tcBorders>
              <w:top w:val="nil"/>
              <w:left w:val="nil"/>
              <w:bottom w:val="single" w:color="auto" w:sz="4" w:space="0"/>
              <w:right w:val="single" w:color="auto" w:sz="4" w:space="0"/>
            </w:tcBorders>
            <w:vAlign w:val="center"/>
          </w:tcPr>
          <w:p>
            <w:pPr>
              <w:topLinePunct/>
              <w:spacing w:line="360" w:lineRule="auto"/>
              <w:ind w:right="302" w:rightChars="126"/>
              <w:rPr>
                <w:rFonts w:cs="Times New Roman"/>
              </w:rPr>
            </w:pPr>
            <w:r>
              <w:rPr>
                <w:rFonts w:hint="eastAsia" w:cs="Times New Roman"/>
              </w:rPr>
              <w:t>景观塔、美化天线</w:t>
            </w:r>
          </w:p>
        </w:tc>
        <w:tc>
          <w:tcPr>
            <w:tcW w:w="2881" w:type="pct"/>
            <w:tcBorders>
              <w:top w:val="nil"/>
              <w:left w:val="nil"/>
              <w:bottom w:val="single" w:color="auto" w:sz="4" w:space="0"/>
              <w:right w:val="single" w:color="auto" w:sz="4" w:space="0"/>
            </w:tcBorders>
          </w:tcPr>
          <w:p>
            <w:pPr>
              <w:topLinePunct/>
              <w:spacing w:line="360" w:lineRule="auto"/>
              <w:ind w:right="302" w:rightChars="126"/>
              <w:rPr>
                <w:rFonts w:cs="Times New Roman"/>
              </w:rPr>
            </w:pPr>
            <w:r>
              <w:rPr>
                <w:rFonts w:hint="eastAsia" w:cs="Times New Roman"/>
              </w:rPr>
              <w:t>结合景区景观设置，并与景观风貌相协调</w:t>
            </w:r>
          </w:p>
        </w:tc>
      </w:tr>
    </w:tbl>
    <w:p>
      <w:pPr>
        <w:spacing w:line="360" w:lineRule="auto"/>
        <w:ind w:right="302" w:rightChars="126"/>
      </w:pPr>
    </w:p>
    <w:p>
      <w:pPr>
        <w:pStyle w:val="7"/>
        <w:numPr>
          <w:ilvl w:val="0"/>
          <w:numId w:val="20"/>
        </w:numPr>
        <w:spacing w:line="360" w:lineRule="auto"/>
        <w:ind w:right="302" w:rightChars="126" w:firstLineChars="0"/>
        <w:rPr>
          <w:rFonts w:ascii="宋体"/>
          <w:sz w:val="24"/>
          <w:szCs w:val="24"/>
        </w:rPr>
      </w:pPr>
      <w:r>
        <w:rPr>
          <w:rFonts w:hint="eastAsia" w:ascii="宋体" w:hAnsi="宋体"/>
          <w:sz w:val="24"/>
          <w:szCs w:val="24"/>
        </w:rPr>
        <w:t>高度规定</w:t>
      </w:r>
    </w:p>
    <w:p>
      <w:pPr>
        <w:spacing w:line="360" w:lineRule="auto"/>
        <w:ind w:left="136" w:leftChars="57" w:right="302" w:rightChars="126" w:firstLine="480" w:firstLineChars="200"/>
        <w:rPr>
          <w:rFonts w:cs="Times New Roman"/>
        </w:rPr>
      </w:pPr>
      <w:r>
        <w:rPr>
          <w:rFonts w:hint="eastAsia" w:cs="Times New Roman"/>
        </w:rPr>
        <w:t>基站高度必须满足相应密度分区控制要求，并满足控规中建筑限高要求。在敏感设施周边，必须满足相关单位的限高要求。</w:t>
      </w:r>
      <w:r>
        <w:rPr>
          <w:rFonts w:cs="Times New Roman"/>
        </w:rPr>
        <w:t xml:space="preserve"> </w:t>
      </w:r>
    </w:p>
    <w:p>
      <w:pPr>
        <w:pStyle w:val="7"/>
        <w:numPr>
          <w:ilvl w:val="0"/>
          <w:numId w:val="20"/>
        </w:numPr>
        <w:spacing w:line="360" w:lineRule="auto"/>
        <w:ind w:right="302" w:rightChars="126" w:firstLineChars="0"/>
        <w:rPr>
          <w:rFonts w:ascii="宋体"/>
          <w:sz w:val="24"/>
          <w:szCs w:val="24"/>
        </w:rPr>
      </w:pPr>
      <w:r>
        <w:rPr>
          <w:rFonts w:hint="eastAsia" w:ascii="宋体" w:hAnsi="宋体"/>
          <w:sz w:val="24"/>
          <w:szCs w:val="24"/>
        </w:rPr>
        <w:t>色彩设置规定</w:t>
      </w:r>
    </w:p>
    <w:p>
      <w:pPr>
        <w:spacing w:line="360" w:lineRule="auto"/>
        <w:ind w:left="136" w:leftChars="57" w:right="302" w:rightChars="126" w:firstLine="480" w:firstLineChars="200"/>
        <w:rPr>
          <w:rFonts w:cs="Times New Roman"/>
        </w:rPr>
      </w:pPr>
      <w:r>
        <w:rPr>
          <w:rFonts w:hint="eastAsia" w:cs="Times New Roman"/>
        </w:rPr>
        <w:t>基站色彩应与周边建筑颜色相协调，色彩宜以白、浅蓝、浅灰等中性色为主色调。</w:t>
      </w:r>
    </w:p>
    <w:p>
      <w:pPr>
        <w:pStyle w:val="7"/>
        <w:numPr>
          <w:ilvl w:val="0"/>
          <w:numId w:val="20"/>
        </w:numPr>
        <w:spacing w:line="360" w:lineRule="auto"/>
        <w:ind w:right="302" w:rightChars="126" w:firstLineChars="0"/>
        <w:rPr>
          <w:rFonts w:ascii="宋体"/>
          <w:sz w:val="24"/>
          <w:szCs w:val="24"/>
        </w:rPr>
      </w:pPr>
      <w:r>
        <w:rPr>
          <w:rFonts w:hint="eastAsia" w:ascii="宋体" w:hAnsi="宋体"/>
          <w:sz w:val="24"/>
          <w:szCs w:val="24"/>
        </w:rPr>
        <w:t>机房设置规定</w:t>
      </w:r>
    </w:p>
    <w:p>
      <w:pPr>
        <w:pStyle w:val="7"/>
        <w:tabs>
          <w:tab w:val="left" w:pos="2681"/>
        </w:tabs>
        <w:spacing w:line="360" w:lineRule="auto"/>
        <w:ind w:left="425" w:firstLine="480"/>
        <w:rPr>
          <w:rFonts w:ascii="宋体"/>
          <w:sz w:val="24"/>
          <w:szCs w:val="24"/>
        </w:rPr>
      </w:pPr>
      <w:r>
        <w:rPr>
          <w:rFonts w:hint="eastAsia" w:ascii="宋体" w:hAnsi="宋体"/>
          <w:sz w:val="24"/>
          <w:szCs w:val="24"/>
        </w:rPr>
        <w:t>机房设置应根据具体基站的位置及需求，选择合适的机房形式，规划区域内平均每四个基站应选取其中一个面积较大的站点设置传输节点机房。布置在公园、绿化带内的基站，尽量控制机房的面积，优先选择景观石造型机房，不影响周边环境；布置在城市道路上的基站，优先选择多基站公用中心机房，将基站布置在附近地块内；或者采用一体化机柜，将机房布置在基站杆上或机房布置在基站杆旁，减少单独占用道路面积。</w:t>
      </w:r>
    </w:p>
    <w:p>
      <w:pPr>
        <w:pStyle w:val="3"/>
      </w:pPr>
      <w:bookmarkStart w:id="56" w:name="_Toc56092707"/>
      <w:bookmarkStart w:id="57" w:name="_Toc55386014"/>
      <w:r>
        <w:t>5G</w:t>
      </w:r>
      <w:r>
        <w:rPr>
          <w:rFonts w:hint="eastAsia"/>
        </w:rPr>
        <w:t>通信基站安全性要求</w:t>
      </w:r>
      <w:bookmarkEnd w:id="56"/>
      <w:bookmarkEnd w:id="57"/>
    </w:p>
    <w:p>
      <w:pPr>
        <w:pStyle w:val="7"/>
        <w:numPr>
          <w:ilvl w:val="0"/>
          <w:numId w:val="21"/>
        </w:numPr>
        <w:topLinePunct/>
        <w:spacing w:line="360" w:lineRule="auto"/>
        <w:ind w:firstLineChars="0"/>
        <w:rPr>
          <w:rFonts w:ascii="宋体"/>
          <w:b/>
          <w:sz w:val="24"/>
          <w:szCs w:val="24"/>
        </w:rPr>
      </w:pPr>
      <w:r>
        <w:rPr>
          <w:rFonts w:hint="eastAsia" w:ascii="宋体" w:hAnsi="宋体"/>
          <w:b/>
          <w:sz w:val="24"/>
          <w:szCs w:val="24"/>
        </w:rPr>
        <w:t>基站的安全退让距离</w:t>
      </w:r>
    </w:p>
    <w:p>
      <w:pPr>
        <w:topLinePunct/>
        <w:spacing w:line="360" w:lineRule="auto"/>
        <w:ind w:right="302" w:rightChars="126" w:firstLine="480" w:firstLineChars="200"/>
        <w:rPr>
          <w:rFonts w:cs="Times New Roman"/>
          <w:b/>
        </w:rPr>
      </w:pPr>
      <w:r>
        <w:rPr>
          <w:rFonts w:hint="eastAsia" w:cs="Times New Roman"/>
          <w:b/>
        </w:rPr>
        <w:t>（</w:t>
      </w:r>
      <w:r>
        <w:rPr>
          <w:rFonts w:cs="Times New Roman"/>
          <w:b/>
        </w:rPr>
        <w:t>1</w:t>
      </w:r>
      <w:r>
        <w:rPr>
          <w:rFonts w:hint="eastAsia" w:cs="Times New Roman"/>
          <w:b/>
        </w:rPr>
        <w:t>）基站铁塔距离机场的安全退让距离</w:t>
      </w:r>
    </w:p>
    <w:p>
      <w:pPr>
        <w:spacing w:line="360" w:lineRule="auto"/>
        <w:ind w:left="136" w:leftChars="57" w:right="302" w:rightChars="126" w:firstLine="480" w:firstLineChars="200"/>
        <w:rPr>
          <w:rFonts w:cs="Times New Roman"/>
        </w:rPr>
      </w:pPr>
      <w:r>
        <w:rPr>
          <w:rFonts w:cs="Times New Roman"/>
        </w:rPr>
        <w:t>——</w:t>
      </w:r>
      <w:r>
        <w:rPr>
          <w:rFonts w:hint="eastAsia" w:cs="Times New Roman"/>
        </w:rPr>
        <w:t>《民用机场运行安全管理规定》（</w:t>
      </w:r>
      <w:r>
        <w:rPr>
          <w:rFonts w:cs="Times New Roman"/>
        </w:rPr>
        <w:t>2008</w:t>
      </w:r>
      <w:r>
        <w:rPr>
          <w:rFonts w:hint="eastAsia" w:cs="Times New Roman"/>
        </w:rPr>
        <w:t>年</w:t>
      </w:r>
      <w:r>
        <w:rPr>
          <w:rFonts w:cs="Times New Roman"/>
        </w:rPr>
        <w:t>2</w:t>
      </w:r>
      <w:r>
        <w:rPr>
          <w:rFonts w:hint="eastAsia" w:cs="Times New Roman"/>
        </w:rPr>
        <w:t>月</w:t>
      </w:r>
      <w:r>
        <w:rPr>
          <w:rFonts w:cs="Times New Roman"/>
        </w:rPr>
        <w:t>1</w:t>
      </w:r>
      <w:r>
        <w:rPr>
          <w:rFonts w:hint="eastAsia" w:cs="Times New Roman"/>
        </w:rPr>
        <w:t>日起施行）</w:t>
      </w:r>
    </w:p>
    <w:p>
      <w:pPr>
        <w:spacing w:line="360" w:lineRule="auto"/>
        <w:ind w:left="136" w:leftChars="57" w:right="302" w:rightChars="126" w:firstLine="480" w:firstLineChars="200"/>
        <w:rPr>
          <w:rFonts w:cs="Times New Roman"/>
        </w:rPr>
      </w:pPr>
      <w:r>
        <w:rPr>
          <w:rFonts w:hint="eastAsia" w:cs="Times New Roman"/>
        </w:rPr>
        <w:t>第一百六十六条，在机场障碍物限制面范围以外、距机场跑道中心线两侧各</w:t>
      </w:r>
      <w:r>
        <w:rPr>
          <w:rFonts w:cs="Times New Roman"/>
        </w:rPr>
        <w:t>10</w:t>
      </w:r>
      <w:r>
        <w:rPr>
          <w:rFonts w:hint="eastAsia" w:cs="Times New Roman"/>
        </w:rPr>
        <w:t>公里，跑道端外</w:t>
      </w:r>
      <w:r>
        <w:rPr>
          <w:rFonts w:cs="Times New Roman"/>
        </w:rPr>
        <w:t>20</w:t>
      </w:r>
      <w:r>
        <w:rPr>
          <w:rFonts w:hint="eastAsia" w:cs="Times New Roman"/>
        </w:rPr>
        <w:t>公里的区域内，高出原地面</w:t>
      </w:r>
      <w:r>
        <w:rPr>
          <w:rFonts w:cs="Times New Roman"/>
        </w:rPr>
        <w:t>30</w:t>
      </w:r>
      <w:r>
        <w:rPr>
          <w:rFonts w:hint="eastAsia" w:cs="Times New Roman"/>
        </w:rPr>
        <w:t>米且高出机场标高</w:t>
      </w:r>
      <w:r>
        <w:rPr>
          <w:rFonts w:cs="Times New Roman"/>
        </w:rPr>
        <w:t>150</w:t>
      </w:r>
      <w:r>
        <w:rPr>
          <w:rFonts w:hint="eastAsia" w:cs="Times New Roman"/>
        </w:rPr>
        <w:t>米的物体应当认为是障碍物，除非经专门的航行研究表明它们不会对航空器的运行构成危害。</w:t>
      </w:r>
    </w:p>
    <w:p>
      <w:pPr>
        <w:topLinePunct/>
        <w:spacing w:line="360" w:lineRule="auto"/>
        <w:ind w:right="302" w:rightChars="126" w:firstLine="480" w:firstLineChars="200"/>
        <w:rPr>
          <w:rFonts w:cs="Times New Roman"/>
          <w:b/>
        </w:rPr>
      </w:pPr>
      <w:r>
        <w:rPr>
          <w:rFonts w:hint="eastAsia" w:cs="Times New Roman"/>
          <w:b/>
        </w:rPr>
        <w:t>（</w:t>
      </w:r>
      <w:r>
        <w:rPr>
          <w:rFonts w:cs="Times New Roman"/>
          <w:b/>
        </w:rPr>
        <w:t>2</w:t>
      </w:r>
      <w:r>
        <w:rPr>
          <w:rFonts w:hint="eastAsia" w:cs="Times New Roman"/>
          <w:b/>
        </w:rPr>
        <w:t>）基站铁塔距离铁路的安全退让距离</w:t>
      </w:r>
    </w:p>
    <w:p>
      <w:pPr>
        <w:spacing w:line="360" w:lineRule="auto"/>
        <w:ind w:left="136" w:leftChars="57" w:right="302" w:rightChars="126" w:firstLine="480" w:firstLineChars="200"/>
        <w:rPr>
          <w:rFonts w:cs="Times New Roman"/>
        </w:rPr>
      </w:pPr>
      <w:r>
        <w:rPr>
          <w:rFonts w:cs="Times New Roman"/>
        </w:rPr>
        <w:t>——</w:t>
      </w:r>
      <w:r>
        <w:rPr>
          <w:rFonts w:hint="eastAsia" w:cs="Times New Roman"/>
        </w:rPr>
        <w:t>《中华人民共和国铁路法》（</w:t>
      </w:r>
      <w:r>
        <w:rPr>
          <w:rFonts w:cs="Times New Roman"/>
        </w:rPr>
        <w:t>2015</w:t>
      </w:r>
      <w:r>
        <w:rPr>
          <w:rFonts w:hint="eastAsia" w:cs="Times New Roman"/>
        </w:rPr>
        <w:t>年</w:t>
      </w:r>
      <w:r>
        <w:rPr>
          <w:rFonts w:cs="Times New Roman"/>
        </w:rPr>
        <w:t>4</w:t>
      </w:r>
      <w:r>
        <w:rPr>
          <w:rFonts w:hint="eastAsia" w:cs="Times New Roman"/>
        </w:rPr>
        <w:t>月</w:t>
      </w:r>
      <w:r>
        <w:rPr>
          <w:rFonts w:cs="Times New Roman"/>
        </w:rPr>
        <w:t>24</w:t>
      </w:r>
      <w:r>
        <w:rPr>
          <w:rFonts w:hint="eastAsia" w:cs="Times New Roman"/>
        </w:rPr>
        <w:t>日修正版）</w:t>
      </w:r>
    </w:p>
    <w:p>
      <w:pPr>
        <w:spacing w:line="360" w:lineRule="auto"/>
        <w:ind w:left="136" w:leftChars="57" w:right="302" w:rightChars="126" w:firstLine="480" w:firstLineChars="200"/>
        <w:rPr>
          <w:rFonts w:cs="Times New Roman"/>
        </w:rPr>
      </w:pPr>
      <w:r>
        <w:rPr>
          <w:rFonts w:hint="eastAsia" w:cs="Times New Roman"/>
        </w:rPr>
        <w:t>第四十六条，在铁路线路上架设电力、通讯线路，埋置电缆、管道设施，穿凿通过铁路路基的地下坑道，必须经铁路运输企业同意，并采取安全防护措施。</w:t>
      </w:r>
    </w:p>
    <w:p>
      <w:pPr>
        <w:spacing w:line="360" w:lineRule="auto"/>
        <w:ind w:left="136" w:leftChars="57" w:right="302" w:rightChars="126" w:firstLine="480" w:firstLineChars="200"/>
        <w:rPr>
          <w:rFonts w:cs="Times New Roman"/>
        </w:rPr>
      </w:pPr>
      <w:r>
        <w:rPr>
          <w:rFonts w:cs="Times New Roman"/>
        </w:rPr>
        <w:t>——</w:t>
      </w:r>
      <w:r>
        <w:rPr>
          <w:rFonts w:hint="eastAsia" w:cs="Times New Roman"/>
        </w:rPr>
        <w:t>《铁路安全管理条例》（</w:t>
      </w:r>
      <w:r>
        <w:rPr>
          <w:rFonts w:cs="Times New Roman"/>
        </w:rPr>
        <w:t>2014</w:t>
      </w:r>
      <w:r>
        <w:rPr>
          <w:rFonts w:hint="eastAsia" w:cs="Times New Roman"/>
        </w:rPr>
        <w:t>年</w:t>
      </w:r>
      <w:r>
        <w:rPr>
          <w:rFonts w:cs="Times New Roman"/>
        </w:rPr>
        <w:t>1</w:t>
      </w:r>
      <w:r>
        <w:rPr>
          <w:rFonts w:hint="eastAsia" w:cs="Times New Roman"/>
        </w:rPr>
        <w:t>月</w:t>
      </w:r>
      <w:r>
        <w:rPr>
          <w:rFonts w:cs="Times New Roman"/>
        </w:rPr>
        <w:t>1</w:t>
      </w:r>
      <w:r>
        <w:rPr>
          <w:rFonts w:hint="eastAsia" w:cs="Times New Roman"/>
        </w:rPr>
        <w:t>日起施行）</w:t>
      </w:r>
    </w:p>
    <w:p>
      <w:pPr>
        <w:spacing w:line="360" w:lineRule="auto"/>
        <w:ind w:left="136" w:leftChars="57" w:right="302" w:rightChars="126" w:firstLine="480" w:firstLineChars="200"/>
        <w:rPr>
          <w:rFonts w:cs="Times New Roman"/>
        </w:rPr>
      </w:pPr>
      <w:r>
        <w:rPr>
          <w:rFonts w:hint="eastAsia" w:cs="Times New Roman"/>
        </w:rPr>
        <w:t>第二十七条，铁路线路两侧应当设立铁路线路安全保护区。铁路线路安全保护区的范围，从铁路线路路堤坡脚、路堑坡顶或者铁路桥梁（含铁路、道路两用桥，下同）外侧起向外的距离分别为：</w:t>
      </w:r>
      <w:r>
        <w:rPr>
          <w:rFonts w:cs="Times New Roman"/>
        </w:rPr>
        <w:br w:type="textWrapping"/>
      </w:r>
      <w:r>
        <w:rPr>
          <w:rFonts w:cs="Times New Roman"/>
        </w:rPr>
        <w:t xml:space="preserve">   1</w:t>
      </w:r>
      <w:r>
        <w:rPr>
          <w:rFonts w:hint="eastAsia" w:cs="Times New Roman"/>
        </w:rPr>
        <w:t>）城市市区高速铁路为</w:t>
      </w:r>
      <w:r>
        <w:rPr>
          <w:rFonts w:cs="Times New Roman"/>
        </w:rPr>
        <w:t>10</w:t>
      </w:r>
      <w:r>
        <w:rPr>
          <w:rFonts w:hint="eastAsia" w:cs="Times New Roman"/>
        </w:rPr>
        <w:t>米，其他铁路为</w:t>
      </w:r>
      <w:r>
        <w:rPr>
          <w:rFonts w:cs="Times New Roman"/>
        </w:rPr>
        <w:t>8</w:t>
      </w:r>
      <w:r>
        <w:rPr>
          <w:rFonts w:hint="eastAsia" w:cs="Times New Roman"/>
        </w:rPr>
        <w:t>米；</w:t>
      </w:r>
      <w:r>
        <w:rPr>
          <w:rFonts w:cs="Times New Roman"/>
        </w:rPr>
        <w:br w:type="textWrapping"/>
      </w:r>
      <w:r>
        <w:rPr>
          <w:rFonts w:cs="Times New Roman"/>
        </w:rPr>
        <w:t xml:space="preserve">   2</w:t>
      </w:r>
      <w:r>
        <w:rPr>
          <w:rFonts w:hint="eastAsia" w:cs="Times New Roman"/>
        </w:rPr>
        <w:t>）城市郊区居民居住区高速铁路为</w:t>
      </w:r>
      <w:r>
        <w:rPr>
          <w:rFonts w:cs="Times New Roman"/>
        </w:rPr>
        <w:t>12</w:t>
      </w:r>
      <w:r>
        <w:rPr>
          <w:rFonts w:hint="eastAsia" w:cs="Times New Roman"/>
        </w:rPr>
        <w:t>米，其他铁路为</w:t>
      </w:r>
      <w:r>
        <w:rPr>
          <w:rFonts w:cs="Times New Roman"/>
        </w:rPr>
        <w:t>10</w:t>
      </w:r>
      <w:r>
        <w:rPr>
          <w:rFonts w:hint="eastAsia" w:cs="Times New Roman"/>
        </w:rPr>
        <w:t>米；</w:t>
      </w:r>
      <w:r>
        <w:rPr>
          <w:rFonts w:cs="Times New Roman"/>
        </w:rPr>
        <w:br w:type="textWrapping"/>
      </w:r>
      <w:r>
        <w:rPr>
          <w:rFonts w:cs="Times New Roman"/>
        </w:rPr>
        <w:t xml:space="preserve">   3</w:t>
      </w:r>
      <w:r>
        <w:rPr>
          <w:rFonts w:hint="eastAsia" w:cs="Times New Roman"/>
        </w:rPr>
        <w:t>）村镇居民居住区高速铁路为</w:t>
      </w:r>
      <w:r>
        <w:rPr>
          <w:rFonts w:cs="Times New Roman"/>
        </w:rPr>
        <w:t>15</w:t>
      </w:r>
      <w:r>
        <w:rPr>
          <w:rFonts w:hint="eastAsia" w:cs="Times New Roman"/>
        </w:rPr>
        <w:t>米，其他铁路为</w:t>
      </w:r>
      <w:r>
        <w:rPr>
          <w:rFonts w:cs="Times New Roman"/>
        </w:rPr>
        <w:t>12</w:t>
      </w:r>
      <w:r>
        <w:rPr>
          <w:rFonts w:hint="eastAsia" w:cs="Times New Roman"/>
        </w:rPr>
        <w:t>米；</w:t>
      </w:r>
      <w:r>
        <w:rPr>
          <w:rFonts w:cs="Times New Roman"/>
        </w:rPr>
        <w:br w:type="textWrapping"/>
      </w:r>
      <w:r>
        <w:rPr>
          <w:rFonts w:cs="Times New Roman"/>
        </w:rPr>
        <w:t xml:space="preserve">   4</w:t>
      </w:r>
      <w:r>
        <w:rPr>
          <w:rFonts w:hint="eastAsia" w:cs="Times New Roman"/>
        </w:rPr>
        <w:t>）其他地区高速铁路为</w:t>
      </w:r>
      <w:r>
        <w:rPr>
          <w:rFonts w:cs="Times New Roman"/>
        </w:rPr>
        <w:t>20</w:t>
      </w:r>
      <w:r>
        <w:rPr>
          <w:rFonts w:hint="eastAsia" w:cs="Times New Roman"/>
        </w:rPr>
        <w:t>米，其他铁路为</w:t>
      </w:r>
      <w:r>
        <w:rPr>
          <w:rFonts w:cs="Times New Roman"/>
        </w:rPr>
        <w:t>15</w:t>
      </w:r>
      <w:r>
        <w:rPr>
          <w:rFonts w:hint="eastAsia" w:cs="Times New Roman"/>
        </w:rPr>
        <w:t>米。</w:t>
      </w:r>
      <w:r>
        <w:rPr>
          <w:rFonts w:cs="Times New Roman"/>
        </w:rPr>
        <w:br w:type="textWrapping"/>
      </w:r>
      <w:r>
        <w:rPr>
          <w:rFonts w:cs="Times New Roman"/>
        </w:rPr>
        <w:t xml:space="preserve">   5</w:t>
      </w:r>
      <w:r>
        <w:rPr>
          <w:rFonts w:hint="eastAsia" w:cs="Times New Roman"/>
        </w:rPr>
        <w:t>）前款规定距离不能满足铁路运输安全保护需要的，由铁路建设单位或者铁路运输企业提出方案，铁路监督管理机构或者县级以上地方人民政府依照本条第三款规定程序划定。</w:t>
      </w:r>
    </w:p>
    <w:p>
      <w:pPr>
        <w:topLinePunct/>
        <w:spacing w:line="360" w:lineRule="auto"/>
        <w:ind w:right="302" w:rightChars="126" w:firstLine="480" w:firstLineChars="200"/>
        <w:rPr>
          <w:rFonts w:cs="Times New Roman"/>
          <w:b/>
        </w:rPr>
      </w:pPr>
      <w:r>
        <w:rPr>
          <w:rFonts w:hint="eastAsia" w:cs="Times New Roman"/>
          <w:b/>
        </w:rPr>
        <w:t>（</w:t>
      </w:r>
      <w:r>
        <w:rPr>
          <w:rFonts w:cs="Times New Roman"/>
          <w:b/>
        </w:rPr>
        <w:t>3</w:t>
      </w:r>
      <w:r>
        <w:rPr>
          <w:rFonts w:hint="eastAsia" w:cs="Times New Roman"/>
          <w:b/>
        </w:rPr>
        <w:t>）基站铁塔距离轨道交通的安全退让距离</w:t>
      </w:r>
    </w:p>
    <w:p>
      <w:pPr>
        <w:spacing w:line="360" w:lineRule="auto"/>
        <w:ind w:left="136" w:leftChars="57" w:right="302" w:rightChars="126" w:firstLine="480" w:firstLineChars="200"/>
        <w:rPr>
          <w:rFonts w:cs="Times New Roman"/>
        </w:rPr>
      </w:pPr>
      <w:r>
        <w:rPr>
          <w:rFonts w:cs="Times New Roman"/>
        </w:rPr>
        <w:t>——</w:t>
      </w:r>
      <w:r>
        <w:rPr>
          <w:rFonts w:hint="eastAsia" w:cs="Times New Roman"/>
        </w:rPr>
        <w:t>《城市轨道交通运营管理办法》（中华人民共和国建设部令</w:t>
      </w:r>
      <w:r>
        <w:rPr>
          <w:rFonts w:cs="Times New Roman"/>
        </w:rPr>
        <w:t xml:space="preserve"> </w:t>
      </w:r>
      <w:r>
        <w:rPr>
          <w:rFonts w:hint="eastAsia" w:cs="Times New Roman"/>
        </w:rPr>
        <w:t>第</w:t>
      </w:r>
      <w:r>
        <w:rPr>
          <w:rFonts w:cs="Times New Roman"/>
        </w:rPr>
        <w:t xml:space="preserve"> 140</w:t>
      </w:r>
      <w:r>
        <w:rPr>
          <w:rFonts w:hint="eastAsia" w:cs="Times New Roman"/>
        </w:rPr>
        <w:t>号）</w:t>
      </w:r>
    </w:p>
    <w:p>
      <w:pPr>
        <w:spacing w:line="360" w:lineRule="auto"/>
        <w:ind w:left="136" w:leftChars="57" w:right="302" w:rightChars="126" w:firstLine="480" w:firstLineChars="200"/>
        <w:rPr>
          <w:rFonts w:cs="Times New Roman"/>
        </w:rPr>
      </w:pPr>
      <w:r>
        <w:rPr>
          <w:rFonts w:hint="eastAsia" w:cs="Times New Roman"/>
        </w:rPr>
        <w:t>第二十条，城市轨道交通应当在以下范围设置控制保护区：</w:t>
      </w:r>
    </w:p>
    <w:p>
      <w:pPr>
        <w:spacing w:line="360" w:lineRule="auto"/>
        <w:ind w:left="136" w:leftChars="57" w:right="302" w:rightChars="126" w:firstLine="480" w:firstLineChars="200"/>
        <w:rPr>
          <w:rFonts w:cs="Times New Roman"/>
        </w:rPr>
      </w:pPr>
      <w:r>
        <w:rPr>
          <w:rFonts w:cs="Times New Roman"/>
        </w:rPr>
        <w:t>1</w:t>
      </w:r>
      <w:r>
        <w:rPr>
          <w:rFonts w:hint="eastAsia" w:cs="Times New Roman"/>
        </w:rPr>
        <w:t>）地下车站与隧道周边外侧</w:t>
      </w:r>
      <w:r>
        <w:rPr>
          <w:rFonts w:cs="Times New Roman"/>
        </w:rPr>
        <w:t>50</w:t>
      </w:r>
      <w:r>
        <w:rPr>
          <w:rFonts w:hint="eastAsia" w:cs="Times New Roman"/>
        </w:rPr>
        <w:t>米内；</w:t>
      </w:r>
    </w:p>
    <w:p>
      <w:pPr>
        <w:spacing w:line="360" w:lineRule="auto"/>
        <w:ind w:left="136" w:leftChars="57" w:right="302" w:rightChars="126" w:firstLine="480" w:firstLineChars="200"/>
        <w:rPr>
          <w:rFonts w:cs="Times New Roman"/>
        </w:rPr>
      </w:pPr>
      <w:r>
        <w:rPr>
          <w:rFonts w:cs="Times New Roman"/>
        </w:rPr>
        <w:t>2</w:t>
      </w:r>
      <w:r>
        <w:rPr>
          <w:rFonts w:hint="eastAsia" w:cs="Times New Roman"/>
        </w:rPr>
        <w:t>）地面和高架车站以及线路轨道外边线外侧</w:t>
      </w:r>
      <w:r>
        <w:rPr>
          <w:rFonts w:cs="Times New Roman"/>
        </w:rPr>
        <w:t>30</w:t>
      </w:r>
      <w:r>
        <w:rPr>
          <w:rFonts w:hint="eastAsia" w:cs="Times New Roman"/>
        </w:rPr>
        <w:t>米内；</w:t>
      </w:r>
    </w:p>
    <w:p>
      <w:pPr>
        <w:spacing w:line="360" w:lineRule="auto"/>
        <w:ind w:left="136" w:leftChars="57" w:right="302" w:rightChars="126" w:firstLine="480" w:firstLineChars="200"/>
        <w:rPr>
          <w:rFonts w:cs="Times New Roman"/>
        </w:rPr>
      </w:pPr>
      <w:r>
        <w:rPr>
          <w:rFonts w:cs="Times New Roman"/>
        </w:rPr>
        <w:t>3</w:t>
      </w:r>
      <w:r>
        <w:rPr>
          <w:rFonts w:hint="eastAsia" w:cs="Times New Roman"/>
        </w:rPr>
        <w:t>）出入口、通风亭、变电站等建筑物、构筑物外边线外侧</w:t>
      </w:r>
      <w:r>
        <w:rPr>
          <w:rFonts w:cs="Times New Roman"/>
        </w:rPr>
        <w:t>10</w:t>
      </w:r>
      <w:r>
        <w:rPr>
          <w:rFonts w:hint="eastAsia" w:cs="Times New Roman"/>
        </w:rPr>
        <w:t>米内。</w:t>
      </w:r>
    </w:p>
    <w:p>
      <w:pPr>
        <w:spacing w:line="360" w:lineRule="auto"/>
        <w:ind w:left="136" w:leftChars="57" w:right="302" w:rightChars="126" w:firstLine="480" w:firstLineChars="200"/>
        <w:rPr>
          <w:rFonts w:cs="Times New Roman"/>
        </w:rPr>
      </w:pPr>
      <w:r>
        <w:rPr>
          <w:rFonts w:hint="eastAsia" w:cs="Times New Roman"/>
        </w:rPr>
        <w:t>第二十一条，在城市轨道交通控制保护区内进行下列作业的，作业单位应当制定安全防护方案，在征得运营单位同意后，依法办理有关行政许可手续：</w:t>
      </w:r>
    </w:p>
    <w:p>
      <w:pPr>
        <w:spacing w:line="360" w:lineRule="auto"/>
        <w:ind w:left="136" w:leftChars="57" w:right="302" w:rightChars="126" w:firstLine="480" w:firstLineChars="200"/>
        <w:rPr>
          <w:rFonts w:cs="Times New Roman"/>
        </w:rPr>
      </w:pPr>
      <w:r>
        <w:rPr>
          <w:rFonts w:cs="Times New Roman"/>
        </w:rPr>
        <w:t>1</w:t>
      </w:r>
      <w:r>
        <w:rPr>
          <w:rFonts w:hint="eastAsia" w:cs="Times New Roman"/>
        </w:rPr>
        <w:t>）新建、扩建、改建或者拆除建筑物、构筑物；</w:t>
      </w:r>
    </w:p>
    <w:p>
      <w:pPr>
        <w:spacing w:line="360" w:lineRule="auto"/>
        <w:ind w:left="136" w:leftChars="57" w:right="302" w:rightChars="126" w:firstLine="480" w:firstLineChars="200"/>
        <w:rPr>
          <w:rFonts w:cs="Times New Roman"/>
        </w:rPr>
      </w:pPr>
      <w:r>
        <w:rPr>
          <w:rFonts w:cs="Times New Roman"/>
        </w:rPr>
        <w:t>2</w:t>
      </w:r>
      <w:r>
        <w:rPr>
          <w:rFonts w:hint="eastAsia" w:cs="Times New Roman"/>
        </w:rPr>
        <w:t>）敷设管线、挖掘、爆破、地基加固、打井；</w:t>
      </w:r>
    </w:p>
    <w:p>
      <w:pPr>
        <w:spacing w:line="360" w:lineRule="auto"/>
        <w:ind w:left="136" w:leftChars="57" w:right="302" w:rightChars="126" w:firstLine="480" w:firstLineChars="200"/>
        <w:rPr>
          <w:rFonts w:cs="Times New Roman"/>
        </w:rPr>
      </w:pPr>
      <w:r>
        <w:rPr>
          <w:rFonts w:cs="Times New Roman"/>
        </w:rPr>
        <w:t>3</w:t>
      </w:r>
      <w:r>
        <w:rPr>
          <w:rFonts w:hint="eastAsia" w:cs="Times New Roman"/>
        </w:rPr>
        <w:t>）在过江隧道段挖沙、疏浚河道；</w:t>
      </w:r>
    </w:p>
    <w:p>
      <w:pPr>
        <w:spacing w:line="360" w:lineRule="auto"/>
        <w:ind w:left="136" w:leftChars="57" w:right="302" w:rightChars="126" w:firstLine="480" w:firstLineChars="200"/>
        <w:rPr>
          <w:rFonts w:cs="Times New Roman"/>
        </w:rPr>
      </w:pPr>
      <w:r>
        <w:rPr>
          <w:rFonts w:cs="Times New Roman"/>
        </w:rPr>
        <w:t>4</w:t>
      </w:r>
      <w:r>
        <w:rPr>
          <w:rFonts w:hint="eastAsia" w:cs="Times New Roman"/>
        </w:rPr>
        <w:t>）其他大面积增加或减少载荷的活动。</w:t>
      </w:r>
    </w:p>
    <w:p>
      <w:pPr>
        <w:spacing w:line="360" w:lineRule="auto"/>
        <w:ind w:left="136" w:leftChars="57" w:right="302" w:rightChars="126" w:firstLine="480" w:firstLineChars="200"/>
        <w:rPr>
          <w:rFonts w:cs="Times New Roman"/>
        </w:rPr>
      </w:pPr>
      <w:r>
        <w:rPr>
          <w:rFonts w:hint="eastAsia" w:cs="Times New Roman"/>
        </w:rPr>
        <w:t>上述作业穿过地铁下方时，安全防护方案还应当经专家审查论证。</w:t>
      </w:r>
    </w:p>
    <w:p>
      <w:pPr>
        <w:spacing w:line="360" w:lineRule="auto"/>
        <w:ind w:left="136" w:leftChars="57" w:right="302" w:rightChars="126" w:firstLine="480" w:firstLineChars="200"/>
        <w:rPr>
          <w:rFonts w:cs="Times New Roman"/>
        </w:rPr>
      </w:pPr>
      <w:r>
        <w:rPr>
          <w:rFonts w:hint="eastAsia" w:cs="Times New Roman"/>
        </w:rPr>
        <w:t>运营单位在不停运的情况下对城市轨道交通进行扩建、改建和设施改造的，应当制订安全防护方案，并报城市人民政府城市轨道交通主管部门备案。</w:t>
      </w:r>
    </w:p>
    <w:p>
      <w:pPr>
        <w:spacing w:line="360" w:lineRule="auto"/>
        <w:ind w:left="136" w:leftChars="57" w:right="302" w:rightChars="126" w:firstLine="480" w:firstLineChars="200"/>
        <w:rPr>
          <w:rFonts w:cs="Times New Roman"/>
        </w:rPr>
      </w:pPr>
      <w:r>
        <w:rPr>
          <w:rFonts w:hint="eastAsia" w:cs="Times New Roman"/>
        </w:rPr>
        <w:t>第二十二条，在城市轨道交通线路弯道内侧，不得修建妨碍行车瞭望的建筑物、构筑物，不得种植妨碍行车瞭望的树木。</w:t>
      </w:r>
    </w:p>
    <w:p>
      <w:pPr>
        <w:topLinePunct/>
        <w:spacing w:line="360" w:lineRule="auto"/>
        <w:ind w:right="302" w:rightChars="126" w:firstLine="480" w:firstLineChars="200"/>
        <w:rPr>
          <w:rFonts w:cs="Times New Roman"/>
          <w:b/>
        </w:rPr>
      </w:pPr>
      <w:r>
        <w:rPr>
          <w:rFonts w:hint="eastAsia" w:cs="Times New Roman"/>
          <w:b/>
        </w:rPr>
        <w:t>（</w:t>
      </w:r>
      <w:r>
        <w:rPr>
          <w:rFonts w:cs="Times New Roman"/>
          <w:b/>
        </w:rPr>
        <w:t>4</w:t>
      </w:r>
      <w:r>
        <w:rPr>
          <w:rFonts w:hint="eastAsia" w:cs="Times New Roman"/>
          <w:b/>
        </w:rPr>
        <w:t>）基站铁塔距离公路的安全退让距离</w:t>
      </w:r>
    </w:p>
    <w:p>
      <w:pPr>
        <w:spacing w:line="360" w:lineRule="auto"/>
        <w:ind w:left="136" w:leftChars="57" w:right="302" w:rightChars="126" w:firstLine="480" w:firstLineChars="200"/>
        <w:rPr>
          <w:rFonts w:cs="Times New Roman"/>
        </w:rPr>
      </w:pPr>
      <w:r>
        <w:rPr>
          <w:rFonts w:cs="Times New Roman"/>
        </w:rPr>
        <w:t>——</w:t>
      </w:r>
      <w:r>
        <w:rPr>
          <w:rFonts w:hint="eastAsia" w:cs="Times New Roman"/>
        </w:rPr>
        <w:t>《重庆市公路路政管理条例》（</w:t>
      </w:r>
      <w:r>
        <w:rPr>
          <w:rFonts w:cs="Times New Roman"/>
        </w:rPr>
        <w:t>2015</w:t>
      </w:r>
      <w:r>
        <w:rPr>
          <w:rFonts w:hint="eastAsia" w:cs="Times New Roman"/>
        </w:rPr>
        <w:t>年</w:t>
      </w:r>
      <w:r>
        <w:rPr>
          <w:rFonts w:cs="Times New Roman"/>
        </w:rPr>
        <w:t>7</w:t>
      </w:r>
      <w:r>
        <w:rPr>
          <w:rFonts w:hint="eastAsia" w:cs="Times New Roman"/>
        </w:rPr>
        <w:t>月</w:t>
      </w:r>
      <w:r>
        <w:rPr>
          <w:rFonts w:cs="Times New Roman"/>
        </w:rPr>
        <w:t>1</w:t>
      </w:r>
      <w:r>
        <w:rPr>
          <w:rFonts w:hint="eastAsia" w:cs="Times New Roman"/>
        </w:rPr>
        <w:t>日版）</w:t>
      </w:r>
    </w:p>
    <w:p>
      <w:pPr>
        <w:spacing w:line="360" w:lineRule="auto"/>
        <w:ind w:left="136" w:leftChars="57" w:right="302" w:rightChars="126" w:firstLine="480" w:firstLineChars="200"/>
        <w:rPr>
          <w:rFonts w:cs="Times New Roman"/>
        </w:rPr>
      </w:pPr>
      <w:r>
        <w:rPr>
          <w:rFonts w:hint="eastAsia" w:cs="Times New Roman"/>
        </w:rPr>
        <w:t>第十三条，下列行为由市、州交通主管部门审批：</w:t>
      </w:r>
    </w:p>
    <w:p>
      <w:pPr>
        <w:spacing w:line="360" w:lineRule="auto"/>
        <w:ind w:left="136" w:leftChars="57" w:right="302" w:rightChars="126" w:firstLine="480" w:firstLineChars="200"/>
        <w:rPr>
          <w:rFonts w:cs="Times New Roman"/>
        </w:rPr>
      </w:pPr>
      <w:r>
        <w:rPr>
          <w:rFonts w:hint="eastAsia" w:cs="Times New Roman"/>
        </w:rPr>
        <w:t>（一）县道经营使用权变动；</w:t>
      </w:r>
    </w:p>
    <w:p>
      <w:pPr>
        <w:spacing w:line="360" w:lineRule="auto"/>
        <w:ind w:left="136" w:leftChars="57" w:right="302" w:rightChars="126" w:firstLine="480" w:firstLineChars="200"/>
        <w:rPr>
          <w:rFonts w:cs="Times New Roman"/>
        </w:rPr>
      </w:pPr>
      <w:r>
        <w:rPr>
          <w:rFonts w:hint="eastAsia" w:cs="Times New Roman"/>
        </w:rPr>
        <w:t>（二）在省道及县道设置立交、平交道口、埋设管线、杆线、电缆；</w:t>
      </w:r>
    </w:p>
    <w:p>
      <w:pPr>
        <w:spacing w:line="360" w:lineRule="auto"/>
        <w:ind w:left="136" w:leftChars="57" w:right="302" w:rightChars="126" w:firstLine="480" w:firstLineChars="200"/>
        <w:rPr>
          <w:rFonts w:cs="Times New Roman"/>
        </w:rPr>
      </w:pPr>
      <w:r>
        <w:rPr>
          <w:rFonts w:hint="eastAsia" w:cs="Times New Roman"/>
        </w:rPr>
        <w:t>（三）砍伐国道、省道和县道行道树在</w:t>
      </w:r>
      <w:r>
        <w:rPr>
          <w:rFonts w:cs="Times New Roman"/>
        </w:rPr>
        <w:t>20</w:t>
      </w:r>
      <w:r>
        <w:rPr>
          <w:rFonts w:hint="eastAsia" w:cs="Times New Roman"/>
        </w:rPr>
        <w:t>棵以上的（砍伐</w:t>
      </w:r>
      <w:r>
        <w:rPr>
          <w:rFonts w:cs="Times New Roman"/>
        </w:rPr>
        <w:t>19</w:t>
      </w:r>
      <w:r>
        <w:rPr>
          <w:rFonts w:hint="eastAsia" w:cs="Times New Roman"/>
        </w:rPr>
        <w:t>棵以下的由县交通主管部门审批）；</w:t>
      </w:r>
    </w:p>
    <w:p>
      <w:pPr>
        <w:spacing w:line="360" w:lineRule="auto"/>
        <w:ind w:left="136" w:leftChars="57" w:right="302" w:rightChars="126" w:firstLine="480" w:firstLineChars="200"/>
        <w:rPr>
          <w:rFonts w:cs="Times New Roman"/>
        </w:rPr>
      </w:pPr>
      <w:r>
        <w:rPr>
          <w:rFonts w:hint="eastAsia" w:cs="Times New Roman"/>
        </w:rPr>
        <w:t>（四）跨越县、区的超限运输。</w:t>
      </w:r>
    </w:p>
    <w:p>
      <w:pPr>
        <w:spacing w:line="360" w:lineRule="auto"/>
        <w:ind w:left="136" w:leftChars="57" w:right="302" w:rightChars="126" w:firstLine="480" w:firstLineChars="200"/>
        <w:rPr>
          <w:rFonts w:cs="Times New Roman"/>
        </w:rPr>
      </w:pPr>
      <w:r>
        <w:rPr>
          <w:rFonts w:hint="eastAsia" w:cs="Times New Roman"/>
        </w:rPr>
        <w:t>前款第（一）、（二）、（三）项需报省交通主管部门备查。</w:t>
      </w:r>
    </w:p>
    <w:p>
      <w:pPr>
        <w:spacing w:line="360" w:lineRule="auto"/>
        <w:ind w:left="136" w:leftChars="57" w:right="302" w:rightChars="126" w:firstLine="480" w:firstLineChars="200"/>
        <w:rPr>
          <w:rFonts w:cs="Times New Roman"/>
        </w:rPr>
      </w:pPr>
      <w:r>
        <w:rPr>
          <w:rFonts w:hint="eastAsia" w:cs="Times New Roman"/>
        </w:rPr>
        <w:t>第十四条，不准擅自占用、挖掘、损坏公路、公路用地和公路设施。确因兴建铁路、机场、电站、水库、水渠、铺设管线、电缆、架设杆线或者进行其它建设工程，需要占用、挖掘公路和公路用地、利用公路设施的，建设单位或个人必须事先征得公路路政管理机构同意，并缴纳公路路产占用费或公路路产赔偿费。影响车辆通行的，还应在公安交通管理机关办理手续。</w:t>
      </w:r>
    </w:p>
    <w:p>
      <w:pPr>
        <w:spacing w:line="360" w:lineRule="auto"/>
        <w:ind w:left="136" w:leftChars="57" w:right="302" w:rightChars="126" w:firstLine="480" w:firstLineChars="200"/>
        <w:rPr>
          <w:rFonts w:cs="Times New Roman"/>
        </w:rPr>
      </w:pPr>
      <w:r>
        <w:rPr>
          <w:rFonts w:hint="eastAsia" w:cs="Times New Roman"/>
        </w:rPr>
        <w:t>第二十四条，禁止在公路两侧的建筑控制区内修建建筑物和地面构筑物。需要在公路两侧修建建筑物和地面构筑物的，其建筑设施边缘与公路边沟外缘的间距为：国道不少于</w:t>
      </w:r>
      <w:r>
        <w:rPr>
          <w:rFonts w:cs="Times New Roman"/>
        </w:rPr>
        <w:t>20</w:t>
      </w:r>
      <w:r>
        <w:rPr>
          <w:rFonts w:hint="eastAsia" w:cs="Times New Roman"/>
        </w:rPr>
        <w:t>米，省道不少于</w:t>
      </w:r>
      <w:r>
        <w:rPr>
          <w:rFonts w:cs="Times New Roman"/>
        </w:rPr>
        <w:t>15</w:t>
      </w:r>
      <w:r>
        <w:rPr>
          <w:rFonts w:hint="eastAsia" w:cs="Times New Roman"/>
        </w:rPr>
        <w:t>米，县道不少于</w:t>
      </w:r>
      <w:r>
        <w:rPr>
          <w:rFonts w:cs="Times New Roman"/>
        </w:rPr>
        <w:t>10</w:t>
      </w:r>
      <w:r>
        <w:rPr>
          <w:rFonts w:hint="eastAsia" w:cs="Times New Roman"/>
        </w:rPr>
        <w:t>米，乡道不少于</w:t>
      </w:r>
      <w:r>
        <w:rPr>
          <w:rFonts w:cs="Times New Roman"/>
        </w:rPr>
        <w:t>5</w:t>
      </w:r>
      <w:r>
        <w:rPr>
          <w:rFonts w:hint="eastAsia" w:cs="Times New Roman"/>
        </w:rPr>
        <w:t>米。</w:t>
      </w:r>
    </w:p>
    <w:p>
      <w:pPr>
        <w:topLinePunct/>
        <w:spacing w:line="360" w:lineRule="auto"/>
        <w:ind w:right="302" w:rightChars="126" w:firstLine="480" w:firstLineChars="200"/>
        <w:rPr>
          <w:rFonts w:cs="Times New Roman"/>
          <w:b/>
        </w:rPr>
      </w:pPr>
      <w:r>
        <w:rPr>
          <w:rFonts w:hint="eastAsia" w:cs="Times New Roman"/>
          <w:b/>
        </w:rPr>
        <w:t>（</w:t>
      </w:r>
      <w:r>
        <w:rPr>
          <w:rFonts w:cs="Times New Roman"/>
          <w:b/>
        </w:rPr>
        <w:t>5</w:t>
      </w:r>
      <w:r>
        <w:rPr>
          <w:rFonts w:hint="eastAsia" w:cs="Times New Roman"/>
          <w:b/>
        </w:rPr>
        <w:t>）基站铁塔距离高压电力线路（设备）的安全退让距离</w:t>
      </w:r>
    </w:p>
    <w:p>
      <w:pPr>
        <w:spacing w:line="360" w:lineRule="auto"/>
        <w:ind w:left="136" w:leftChars="57" w:right="302" w:rightChars="126" w:firstLine="480" w:firstLineChars="200"/>
        <w:rPr>
          <w:rFonts w:cs="Times New Roman"/>
        </w:rPr>
      </w:pPr>
      <w:r>
        <w:rPr>
          <w:rFonts w:cs="Times New Roman"/>
        </w:rPr>
        <w:t>——</w:t>
      </w:r>
      <w:r>
        <w:rPr>
          <w:rFonts w:hint="eastAsia" w:cs="Times New Roman"/>
        </w:rPr>
        <w:t>《电力设施保护条例》（</w:t>
      </w:r>
      <w:r>
        <w:rPr>
          <w:rFonts w:cs="Times New Roman"/>
        </w:rPr>
        <w:t>2011</w:t>
      </w:r>
      <w:r>
        <w:rPr>
          <w:rFonts w:hint="eastAsia" w:cs="Times New Roman"/>
        </w:rPr>
        <w:t>年</w:t>
      </w:r>
      <w:r>
        <w:rPr>
          <w:rFonts w:cs="Times New Roman"/>
        </w:rPr>
        <w:t>1</w:t>
      </w:r>
      <w:r>
        <w:rPr>
          <w:rFonts w:hint="eastAsia" w:cs="Times New Roman"/>
        </w:rPr>
        <w:t>月</w:t>
      </w:r>
      <w:r>
        <w:rPr>
          <w:rFonts w:cs="Times New Roman"/>
        </w:rPr>
        <w:t>8</w:t>
      </w:r>
      <w:r>
        <w:rPr>
          <w:rFonts w:hint="eastAsia" w:cs="Times New Roman"/>
        </w:rPr>
        <w:t>日</w:t>
      </w:r>
      <w:r>
        <w:rPr>
          <w:rFonts w:cs="Times New Roman"/>
        </w:rPr>
        <w:t xml:space="preserve"> </w:t>
      </w:r>
      <w:r>
        <w:rPr>
          <w:rFonts w:hint="eastAsia" w:cs="Times New Roman"/>
        </w:rPr>
        <w:t>第二次修订）</w:t>
      </w:r>
    </w:p>
    <w:p>
      <w:pPr>
        <w:spacing w:line="360" w:lineRule="auto"/>
        <w:ind w:left="616" w:leftChars="257" w:right="302" w:rightChars="126"/>
        <w:rPr>
          <w:rFonts w:cs="Times New Roman"/>
        </w:rPr>
      </w:pPr>
      <w:r>
        <w:rPr>
          <w:rFonts w:hint="eastAsia" w:cs="Times New Roman"/>
        </w:rPr>
        <w:t>第十条，电力线路保护区：</w:t>
      </w:r>
      <w:r>
        <w:rPr>
          <w:rFonts w:cs="Times New Roman"/>
        </w:rPr>
        <w:br w:type="textWrapping"/>
      </w:r>
      <w:r>
        <w:rPr>
          <w:rFonts w:cs="Times New Roman"/>
        </w:rPr>
        <w:t>1</w:t>
      </w:r>
      <w:r>
        <w:rPr>
          <w:rFonts w:hint="eastAsia" w:cs="Times New Roman"/>
        </w:rPr>
        <w:t>）架空电力线路保护区：导线边线向外侧水平延伸并垂直于地面所形成的两平行面内的区域，在一般地区各级电压导线的边线延伸距离如下：</w:t>
      </w:r>
    </w:p>
    <w:p>
      <w:pPr>
        <w:spacing w:line="360" w:lineRule="auto"/>
        <w:ind w:left="136" w:leftChars="57" w:right="302" w:rightChars="126" w:firstLine="480" w:firstLineChars="200"/>
        <w:rPr>
          <w:rFonts w:cs="Times New Roman"/>
        </w:rPr>
      </w:pPr>
      <w:r>
        <w:rPr>
          <w:rFonts w:cs="Times New Roman"/>
        </w:rPr>
        <w:t>1-10</w:t>
      </w:r>
      <w:r>
        <w:rPr>
          <w:rFonts w:hint="eastAsia" w:cs="Times New Roman"/>
        </w:rPr>
        <w:t>千伏，</w:t>
      </w:r>
      <w:r>
        <w:rPr>
          <w:rFonts w:cs="Times New Roman"/>
        </w:rPr>
        <w:t>5</w:t>
      </w:r>
      <w:r>
        <w:rPr>
          <w:rFonts w:hint="eastAsia" w:cs="Times New Roman"/>
        </w:rPr>
        <w:t>米；</w:t>
      </w:r>
    </w:p>
    <w:p>
      <w:pPr>
        <w:spacing w:line="360" w:lineRule="auto"/>
        <w:ind w:left="136" w:leftChars="57" w:right="302" w:rightChars="126" w:firstLine="480" w:firstLineChars="200"/>
        <w:rPr>
          <w:rFonts w:cs="Times New Roman"/>
        </w:rPr>
      </w:pPr>
      <w:r>
        <w:rPr>
          <w:rFonts w:cs="Times New Roman"/>
        </w:rPr>
        <w:t>35-110</w:t>
      </w:r>
      <w:r>
        <w:rPr>
          <w:rFonts w:hint="eastAsia" w:cs="Times New Roman"/>
        </w:rPr>
        <w:t>千伏，</w:t>
      </w:r>
      <w:r>
        <w:rPr>
          <w:rFonts w:cs="Times New Roman"/>
        </w:rPr>
        <w:t>10</w:t>
      </w:r>
      <w:r>
        <w:rPr>
          <w:rFonts w:hint="eastAsia" w:cs="Times New Roman"/>
        </w:rPr>
        <w:t>米；</w:t>
      </w:r>
    </w:p>
    <w:p>
      <w:pPr>
        <w:spacing w:line="360" w:lineRule="auto"/>
        <w:ind w:left="136" w:leftChars="57" w:right="302" w:rightChars="126" w:firstLine="480" w:firstLineChars="200"/>
        <w:rPr>
          <w:rFonts w:cs="Times New Roman"/>
        </w:rPr>
      </w:pPr>
      <w:r>
        <w:rPr>
          <w:rFonts w:cs="Times New Roman"/>
        </w:rPr>
        <w:t>154-330</w:t>
      </w:r>
      <w:r>
        <w:rPr>
          <w:rFonts w:hint="eastAsia" w:cs="Times New Roman"/>
        </w:rPr>
        <w:t>千伏，</w:t>
      </w:r>
      <w:r>
        <w:rPr>
          <w:rFonts w:cs="Times New Roman"/>
        </w:rPr>
        <w:t>15</w:t>
      </w:r>
      <w:r>
        <w:rPr>
          <w:rFonts w:hint="eastAsia" w:cs="Times New Roman"/>
        </w:rPr>
        <w:t>米；</w:t>
      </w:r>
    </w:p>
    <w:p>
      <w:pPr>
        <w:spacing w:line="360" w:lineRule="auto"/>
        <w:ind w:left="136" w:leftChars="57" w:right="302" w:rightChars="126" w:firstLine="480" w:firstLineChars="200"/>
        <w:rPr>
          <w:rFonts w:cs="Times New Roman"/>
        </w:rPr>
      </w:pPr>
      <w:r>
        <w:rPr>
          <w:rFonts w:cs="Times New Roman"/>
        </w:rPr>
        <w:t>500</w:t>
      </w:r>
      <w:r>
        <w:rPr>
          <w:rFonts w:hint="eastAsia" w:cs="Times New Roman"/>
        </w:rPr>
        <w:t>千伏，</w:t>
      </w:r>
      <w:r>
        <w:rPr>
          <w:rFonts w:cs="Times New Roman"/>
        </w:rPr>
        <w:t>20</w:t>
      </w:r>
      <w:r>
        <w:rPr>
          <w:rFonts w:hint="eastAsia" w:cs="Times New Roman"/>
        </w:rPr>
        <w:t>米；</w:t>
      </w:r>
    </w:p>
    <w:p>
      <w:pPr>
        <w:spacing w:line="360" w:lineRule="auto"/>
        <w:ind w:left="136" w:leftChars="57" w:right="302" w:rightChars="126" w:firstLine="480" w:firstLineChars="200"/>
        <w:rPr>
          <w:rFonts w:cs="Times New Roman"/>
        </w:rPr>
      </w:pPr>
      <w:r>
        <w:rPr>
          <w:rFonts w:hint="eastAsia" w:cs="Times New Roman"/>
        </w:rPr>
        <w:t>在厂矿、城镇等人口密集地区，架空电力线路保护区的区域可略小于上述规定。但各级电压导线边线延伸的距离，不应小于导线边线在最大计算弧垂及最大计算风偏后的水平距离和风偏后距建筑物的安全距离之和。</w:t>
      </w:r>
    </w:p>
    <w:p>
      <w:pPr>
        <w:spacing w:line="360" w:lineRule="auto"/>
        <w:ind w:left="136" w:leftChars="57" w:right="302" w:rightChars="126" w:firstLine="240" w:firstLineChars="100"/>
        <w:rPr>
          <w:rFonts w:cs="Times New Roman"/>
        </w:rPr>
      </w:pPr>
      <w:r>
        <w:rPr>
          <w:rFonts w:cs="Times New Roman"/>
        </w:rPr>
        <w:t>2</w:t>
      </w:r>
      <w:r>
        <w:rPr>
          <w:rFonts w:hint="eastAsia" w:cs="Times New Roman"/>
        </w:rPr>
        <w:t>）电力电缆线路保护区：地下电缆为电缆线路地面标桩两侧各</w:t>
      </w:r>
      <w:r>
        <w:rPr>
          <w:rFonts w:cs="Times New Roman"/>
        </w:rPr>
        <w:t>0.75</w:t>
      </w:r>
      <w:r>
        <w:rPr>
          <w:rFonts w:hint="eastAsia" w:cs="Times New Roman"/>
        </w:rPr>
        <w:t>米所形成的两平行线内的区域；江河电缆一般不小于线路两侧各</w:t>
      </w:r>
      <w:r>
        <w:rPr>
          <w:rFonts w:cs="Times New Roman"/>
        </w:rPr>
        <w:t>100</w:t>
      </w:r>
      <w:r>
        <w:rPr>
          <w:rFonts w:hint="eastAsia" w:cs="Times New Roman"/>
        </w:rPr>
        <w:t>米（中、小河流一般不小于各</w:t>
      </w:r>
      <w:r>
        <w:rPr>
          <w:rFonts w:cs="Times New Roman"/>
        </w:rPr>
        <w:t>50</w:t>
      </w:r>
      <w:r>
        <w:rPr>
          <w:rFonts w:hint="eastAsia" w:cs="Times New Roman"/>
        </w:rPr>
        <w:t>米）所形成的两平行线内的水域。</w:t>
      </w:r>
    </w:p>
    <w:p>
      <w:pPr>
        <w:topLinePunct/>
        <w:spacing w:line="360" w:lineRule="auto"/>
        <w:ind w:left="480" w:leftChars="200" w:right="302" w:rightChars="126"/>
        <w:rPr>
          <w:rFonts w:cs="Times New Roman"/>
        </w:rPr>
      </w:pPr>
      <w:r>
        <w:rPr>
          <w:rFonts w:hint="eastAsia" w:cs="Times New Roman"/>
        </w:rPr>
        <w:t>第十五条，任何单位或个人在架空电力线路保护区内，必须遵守下列规定：</w:t>
      </w:r>
      <w:r>
        <w:rPr>
          <w:rFonts w:cs="Times New Roman"/>
        </w:rPr>
        <w:br w:type="textWrapping"/>
      </w:r>
      <w:r>
        <w:rPr>
          <w:rFonts w:cs="Times New Roman"/>
        </w:rPr>
        <w:t>3</w:t>
      </w:r>
      <w:r>
        <w:rPr>
          <w:rFonts w:hint="eastAsia" w:cs="Times New Roman"/>
        </w:rPr>
        <w:t>）不得兴建建筑物、构筑物；</w:t>
      </w:r>
    </w:p>
    <w:p>
      <w:pPr>
        <w:topLinePunct/>
        <w:spacing w:line="360" w:lineRule="auto"/>
        <w:ind w:right="302" w:rightChars="126" w:firstLine="480" w:firstLineChars="200"/>
        <w:rPr>
          <w:rFonts w:cs="Times New Roman"/>
        </w:rPr>
      </w:pPr>
      <w:r>
        <w:rPr>
          <w:rFonts w:hint="eastAsia" w:cs="Times New Roman"/>
          <w:b/>
        </w:rPr>
        <w:t>（</w:t>
      </w:r>
      <w:r>
        <w:rPr>
          <w:rFonts w:cs="Times New Roman"/>
          <w:b/>
        </w:rPr>
        <w:t>6</w:t>
      </w:r>
      <w:r>
        <w:rPr>
          <w:rFonts w:hint="eastAsia" w:cs="Times New Roman"/>
          <w:b/>
        </w:rPr>
        <w:t>）基站铁塔距离油罐、油库及天然气的安全退让距离</w:t>
      </w:r>
    </w:p>
    <w:p>
      <w:pPr>
        <w:topLinePunct/>
        <w:spacing w:line="360" w:lineRule="auto"/>
        <w:ind w:right="302" w:rightChars="126" w:firstLine="480" w:firstLineChars="200"/>
        <w:rPr>
          <w:rFonts w:cs="Times New Roman"/>
        </w:rPr>
      </w:pPr>
      <w:r>
        <w:rPr>
          <w:rFonts w:cs="Times New Roman"/>
        </w:rPr>
        <w:t>1</w:t>
      </w:r>
      <w:r>
        <w:rPr>
          <w:rFonts w:hint="eastAsia" w:cs="Times New Roman"/>
        </w:rPr>
        <w:t>）依据《建筑设计防火规范》及《汽车加油加气站设计与施工规范》，基站铁塔距离油罐、油库的安全退让距离，一般不小于</w:t>
      </w:r>
      <w:r>
        <w:rPr>
          <w:rFonts w:cs="Times New Roman"/>
        </w:rPr>
        <w:t>50</w:t>
      </w:r>
      <w:r>
        <w:rPr>
          <w:rFonts w:hint="eastAsia" w:cs="Times New Roman"/>
        </w:rPr>
        <w:t>米。</w:t>
      </w:r>
    </w:p>
    <w:p>
      <w:pPr>
        <w:topLinePunct/>
        <w:spacing w:line="360" w:lineRule="auto"/>
        <w:ind w:right="302" w:rightChars="126" w:firstLine="480" w:firstLineChars="200"/>
        <w:rPr>
          <w:rFonts w:cs="Times New Roman"/>
        </w:rPr>
      </w:pPr>
      <w:r>
        <w:rPr>
          <w:rFonts w:cs="Times New Roman"/>
        </w:rPr>
        <w:t>2</w:t>
      </w:r>
      <w:r>
        <w:rPr>
          <w:rFonts w:hint="eastAsia" w:cs="Times New Roman"/>
        </w:rPr>
        <w:t>）依据《石油天然气工程设计防火规范》</w:t>
      </w:r>
      <w:r>
        <w:rPr>
          <w:rFonts w:cs="Times New Roman"/>
        </w:rPr>
        <w:t>GB50183-2015</w:t>
      </w:r>
    </w:p>
    <w:p>
      <w:pPr>
        <w:topLinePunct/>
        <w:spacing w:line="360" w:lineRule="auto"/>
        <w:ind w:right="302" w:rightChars="126" w:firstLine="480" w:firstLineChars="200"/>
        <w:rPr>
          <w:rFonts w:cs="Times New Roman"/>
        </w:rPr>
      </w:pPr>
      <w:r>
        <w:rPr>
          <w:rFonts w:hint="eastAsia" w:cs="Times New Roman"/>
        </w:rPr>
        <w:t>第十七条，进行下列施工作业，施工单位应当向管道所在地县级人民政府能源主管部门提出书面申请：</w:t>
      </w:r>
    </w:p>
    <w:p>
      <w:pPr>
        <w:topLinePunct/>
        <w:spacing w:line="360" w:lineRule="auto"/>
        <w:ind w:right="302" w:rightChars="126" w:firstLine="480" w:firstLineChars="200"/>
        <w:rPr>
          <w:rFonts w:cs="Times New Roman"/>
        </w:rPr>
      </w:pPr>
      <w:r>
        <w:rPr>
          <w:rFonts w:hint="eastAsia" w:cs="Times New Roman"/>
        </w:rPr>
        <w:t>在管道线路中心线两侧各五米至五十米和本办法第三条第二款第一项所列管道附属设施周边一百米地域范围内，新建、改建、扩建铁路、公路、河渠，架设电力线路，埋设地下电缆、光缆，设置安全接地体、避雷接地体；</w:t>
      </w:r>
    </w:p>
    <w:p>
      <w:pPr>
        <w:topLinePunct/>
        <w:spacing w:line="360" w:lineRule="auto"/>
        <w:ind w:right="302" w:rightChars="126" w:firstLine="480" w:firstLineChars="200"/>
        <w:rPr>
          <w:rFonts w:cs="Times New Roman"/>
        </w:rPr>
      </w:pPr>
      <w:r>
        <w:rPr>
          <w:rFonts w:hint="eastAsia" w:cs="Times New Roman"/>
        </w:rPr>
        <w:t>在管道线路中心线两侧各二百米和本办法第三条第二款第一项所列管道附属设施周边五百米地域范围内，进行爆破、地震法勘探或者工程挖掘、工程钻探、采矿；</w:t>
      </w:r>
    </w:p>
    <w:p>
      <w:pPr>
        <w:topLinePunct/>
        <w:spacing w:line="360" w:lineRule="auto"/>
        <w:ind w:right="302" w:rightChars="126" w:firstLine="480" w:firstLineChars="200"/>
        <w:rPr>
          <w:rFonts w:cs="Times New Roman"/>
        </w:rPr>
      </w:pPr>
      <w:r>
        <w:rPr>
          <w:rFonts w:cs="Times New Roman"/>
        </w:rPr>
        <w:t>3</w:t>
      </w:r>
      <w:r>
        <w:rPr>
          <w:rFonts w:hint="eastAsia" w:cs="Times New Roman"/>
        </w:rPr>
        <w:t>）依据《石油天然气钻井开发储运防火防爆安全生产技术规程》</w:t>
      </w:r>
      <w:r>
        <w:rPr>
          <w:rFonts w:cs="Times New Roman"/>
        </w:rPr>
        <w:t>(SY52252012)</w:t>
      </w:r>
    </w:p>
    <w:p>
      <w:pPr>
        <w:topLinePunct/>
        <w:spacing w:line="360" w:lineRule="auto"/>
        <w:ind w:right="302" w:rightChars="126" w:firstLine="480" w:firstLineChars="200"/>
        <w:rPr>
          <w:rFonts w:cs="Times New Roman"/>
        </w:rPr>
      </w:pPr>
      <w:r>
        <w:rPr>
          <w:rFonts w:hint="eastAsia" w:cs="Times New Roman"/>
        </w:rPr>
        <w:t>天然气集输、加压、处理和储存等厂、站与周围建（构）筑物、设施的防火间距</w:t>
      </w:r>
      <w:r>
        <w:rPr>
          <w:rFonts w:cs="Times New Roman"/>
        </w:rPr>
        <w:t>40m</w:t>
      </w:r>
      <w:r>
        <w:rPr>
          <w:rFonts w:hint="eastAsia" w:cs="Times New Roman"/>
        </w:rPr>
        <w:t>。</w:t>
      </w:r>
    </w:p>
    <w:p>
      <w:pPr>
        <w:topLinePunct/>
        <w:spacing w:line="360" w:lineRule="auto"/>
        <w:ind w:right="302" w:rightChars="126" w:firstLine="480" w:firstLineChars="200"/>
        <w:rPr>
          <w:rFonts w:cs="Times New Roman"/>
          <w:b/>
        </w:rPr>
      </w:pPr>
      <w:r>
        <w:rPr>
          <w:rFonts w:hint="eastAsia" w:cs="Times New Roman"/>
          <w:b/>
        </w:rPr>
        <w:t>（</w:t>
      </w:r>
      <w:r>
        <w:rPr>
          <w:rFonts w:cs="Times New Roman"/>
          <w:b/>
        </w:rPr>
        <w:t>7</w:t>
      </w:r>
      <w:r>
        <w:rPr>
          <w:rFonts w:hint="eastAsia" w:cs="Times New Roman"/>
          <w:b/>
        </w:rPr>
        <w:t>）文物保护单位的建设控制地带、自然保护区外围保护地带</w:t>
      </w:r>
    </w:p>
    <w:p>
      <w:pPr>
        <w:topLinePunct/>
        <w:spacing w:line="360" w:lineRule="auto"/>
        <w:ind w:right="302" w:rightChars="126" w:firstLine="480" w:firstLineChars="200"/>
        <w:rPr>
          <w:rFonts w:cs="Times New Roman"/>
        </w:rPr>
      </w:pPr>
      <w:r>
        <w:rPr>
          <w:rFonts w:cs="Times New Roman"/>
        </w:rPr>
        <w:t>——</w:t>
      </w:r>
      <w:r>
        <w:rPr>
          <w:rFonts w:hint="eastAsia" w:cs="Times New Roman"/>
        </w:rPr>
        <w:t>《中华人民共和国文物保护法实施条例》</w:t>
      </w:r>
    </w:p>
    <w:p>
      <w:pPr>
        <w:topLinePunct/>
        <w:spacing w:line="360" w:lineRule="auto"/>
        <w:ind w:right="302" w:rightChars="126" w:firstLine="480" w:firstLineChars="200"/>
        <w:rPr>
          <w:rFonts w:cs="Times New Roman"/>
        </w:rPr>
      </w:pPr>
      <w:r>
        <w:rPr>
          <w:rFonts w:hint="eastAsia" w:cs="Times New Roman"/>
        </w:rPr>
        <w:t>第十四条，全国重点文物保护单位的建设控制地带，经省、自治区、直辖市人民政府批准，由省、自治区、直辖市人民政府的文物行政主管部门会同城乡规划行政主管部门划定并公布。省级、设区的市、自治州级和县级文物保护单位的建设控制地带，经省、自治区、直辖市人民政府批准，由核定公布该文物保护单位的人民政府的文物行政主管部门会同城乡规划行政主管部门划定并公布。</w:t>
      </w:r>
    </w:p>
    <w:p>
      <w:pPr>
        <w:topLinePunct/>
        <w:spacing w:line="360" w:lineRule="auto"/>
        <w:ind w:right="302" w:rightChars="126" w:firstLine="480" w:firstLineChars="200"/>
        <w:rPr>
          <w:rFonts w:cs="Times New Roman"/>
        </w:rPr>
      </w:pPr>
      <w:r>
        <w:rPr>
          <w:rFonts w:cs="Times New Roman"/>
        </w:rPr>
        <w:t>——</w:t>
      </w:r>
      <w:r>
        <w:rPr>
          <w:rFonts w:hint="eastAsia" w:cs="Times New Roman"/>
        </w:rPr>
        <w:t>《城市紫线管理办法》（</w:t>
      </w:r>
      <w:r>
        <w:rPr>
          <w:rFonts w:cs="Times New Roman"/>
        </w:rPr>
        <w:t>2004</w:t>
      </w:r>
      <w:r>
        <w:rPr>
          <w:rFonts w:hint="eastAsia" w:cs="Times New Roman"/>
        </w:rPr>
        <w:t>年</w:t>
      </w:r>
      <w:r>
        <w:rPr>
          <w:rFonts w:cs="Times New Roman"/>
        </w:rPr>
        <w:t>2</w:t>
      </w:r>
      <w:r>
        <w:rPr>
          <w:rFonts w:hint="eastAsia" w:cs="Times New Roman"/>
        </w:rPr>
        <w:t>月</w:t>
      </w:r>
      <w:r>
        <w:rPr>
          <w:rFonts w:cs="Times New Roman"/>
        </w:rPr>
        <w:t>1</w:t>
      </w:r>
      <w:r>
        <w:rPr>
          <w:rFonts w:hint="eastAsia" w:cs="Times New Roman"/>
        </w:rPr>
        <w:t>日实施）</w:t>
      </w:r>
      <w:r>
        <w:rPr>
          <w:rFonts w:cs="Times New Roman"/>
        </w:rPr>
        <w:t xml:space="preserve"> </w:t>
      </w:r>
    </w:p>
    <w:p>
      <w:pPr>
        <w:topLinePunct/>
        <w:spacing w:line="360" w:lineRule="auto"/>
        <w:ind w:right="302" w:rightChars="126" w:firstLine="480" w:firstLineChars="200"/>
        <w:rPr>
          <w:rFonts w:cs="Times New Roman"/>
        </w:rPr>
      </w:pPr>
      <w:r>
        <w:rPr>
          <w:rFonts w:hint="eastAsia" w:cs="Times New Roman"/>
        </w:rPr>
        <w:t>第十三条，在城市紫线范围内禁止进行下列活动：</w:t>
      </w:r>
    </w:p>
    <w:p>
      <w:pPr>
        <w:topLinePunct/>
        <w:spacing w:line="360" w:lineRule="auto"/>
        <w:ind w:right="302" w:rightChars="126" w:firstLine="480" w:firstLineChars="200"/>
        <w:rPr>
          <w:rFonts w:cs="Times New Roman"/>
        </w:rPr>
      </w:pPr>
      <w:r>
        <w:rPr>
          <w:rFonts w:hint="eastAsia" w:cs="Times New Roman"/>
        </w:rPr>
        <w:t>（一）违反保护规划的大面积拆除、开发；</w:t>
      </w:r>
    </w:p>
    <w:p>
      <w:pPr>
        <w:topLinePunct/>
        <w:spacing w:line="360" w:lineRule="auto"/>
        <w:ind w:right="302" w:rightChars="126" w:firstLine="480" w:firstLineChars="200"/>
        <w:rPr>
          <w:rFonts w:cs="Times New Roman"/>
        </w:rPr>
      </w:pPr>
      <w:r>
        <w:rPr>
          <w:rFonts w:hint="eastAsia" w:cs="Times New Roman"/>
        </w:rPr>
        <w:t>（二）对历史文化街区传统格局和风貌构成影响的大面积改建；</w:t>
      </w:r>
    </w:p>
    <w:p>
      <w:pPr>
        <w:topLinePunct/>
        <w:spacing w:line="360" w:lineRule="auto"/>
        <w:ind w:right="302" w:rightChars="126" w:firstLine="480" w:firstLineChars="200"/>
        <w:rPr>
          <w:rFonts w:cs="Times New Roman"/>
        </w:rPr>
      </w:pPr>
      <w:r>
        <w:rPr>
          <w:rFonts w:hint="eastAsia" w:cs="Times New Roman"/>
        </w:rPr>
        <w:t>（三）损坏或者拆毁保护规划确定保护的建筑物、构筑物和其他设施；</w:t>
      </w:r>
    </w:p>
    <w:p>
      <w:pPr>
        <w:topLinePunct/>
        <w:spacing w:line="360" w:lineRule="auto"/>
        <w:ind w:right="302" w:rightChars="126" w:firstLine="480" w:firstLineChars="200"/>
        <w:rPr>
          <w:rFonts w:cs="Times New Roman"/>
        </w:rPr>
      </w:pPr>
      <w:r>
        <w:rPr>
          <w:rFonts w:hint="eastAsia" w:cs="Times New Roman"/>
        </w:rPr>
        <w:t>（四）修建破坏历史文化街区传统风貌的建筑物、构筑物和其他设施；</w:t>
      </w:r>
    </w:p>
    <w:p>
      <w:pPr>
        <w:topLinePunct/>
        <w:spacing w:line="360" w:lineRule="auto"/>
        <w:ind w:right="302" w:rightChars="126" w:firstLine="480" w:firstLineChars="200"/>
        <w:rPr>
          <w:rFonts w:cs="Times New Roman"/>
        </w:rPr>
      </w:pPr>
      <w:r>
        <w:rPr>
          <w:rFonts w:hint="eastAsia" w:cs="Times New Roman"/>
        </w:rPr>
        <w:t>（五）占用或者破坏保护规划确定保留的园林绿地、河湖水系、道路和古树名木等；</w:t>
      </w:r>
    </w:p>
    <w:p>
      <w:pPr>
        <w:topLinePunct/>
        <w:spacing w:line="360" w:lineRule="auto"/>
        <w:ind w:right="302" w:rightChars="126" w:firstLine="480" w:firstLineChars="200"/>
        <w:rPr>
          <w:rFonts w:cs="Times New Roman"/>
        </w:rPr>
      </w:pPr>
      <w:r>
        <w:rPr>
          <w:rFonts w:hint="eastAsia" w:cs="Times New Roman"/>
        </w:rPr>
        <w:t>（六）其他对历史文化街区和历史建筑的保护构成破坏性影响的活动。</w:t>
      </w:r>
    </w:p>
    <w:p>
      <w:pPr>
        <w:pStyle w:val="7"/>
        <w:numPr>
          <w:ilvl w:val="0"/>
          <w:numId w:val="21"/>
        </w:numPr>
        <w:topLinePunct/>
        <w:spacing w:line="360" w:lineRule="auto"/>
        <w:ind w:firstLineChars="0"/>
        <w:rPr>
          <w:b/>
          <w:sz w:val="24"/>
          <w:szCs w:val="24"/>
        </w:rPr>
      </w:pPr>
      <w:r>
        <w:rPr>
          <w:rFonts w:hint="eastAsia"/>
          <w:b/>
          <w:sz w:val="24"/>
          <w:szCs w:val="24"/>
        </w:rPr>
        <w:t>其他安全性要求</w:t>
      </w:r>
    </w:p>
    <w:p>
      <w:pPr>
        <w:topLinePunct/>
        <w:spacing w:line="360" w:lineRule="auto"/>
        <w:ind w:right="302" w:rightChars="126" w:firstLine="480" w:firstLineChars="200"/>
        <w:rPr>
          <w:rFonts w:cs="Times New Roman"/>
        </w:rPr>
      </w:pPr>
      <w:r>
        <w:rPr>
          <w:rFonts w:hint="eastAsia" w:cs="Times New Roman"/>
        </w:rPr>
        <w:t>（</w:t>
      </w:r>
      <w:r>
        <w:rPr>
          <w:rFonts w:cs="Times New Roman"/>
        </w:rPr>
        <w:t>1</w:t>
      </w:r>
      <w:r>
        <w:rPr>
          <w:rFonts w:hint="eastAsia" w:cs="Times New Roman"/>
        </w:rPr>
        <w:t>）不应选择在易燃、易爆的仓库和材料堆积场，以及在生产过程中散发有毒气体、多烟雾、粉尘、有害物质或者容易发生火灾、爆炸危险的工业企业附近设置。</w:t>
      </w:r>
    </w:p>
    <w:p>
      <w:pPr>
        <w:topLinePunct/>
        <w:spacing w:line="360" w:lineRule="auto"/>
        <w:ind w:right="302" w:rightChars="126" w:firstLine="480" w:firstLineChars="200"/>
        <w:rPr>
          <w:rFonts w:cs="Times New Roman"/>
        </w:rPr>
      </w:pPr>
      <w:r>
        <w:rPr>
          <w:rFonts w:hint="eastAsia" w:cs="Times New Roman"/>
        </w:rPr>
        <w:t>（</w:t>
      </w:r>
      <w:r>
        <w:rPr>
          <w:rFonts w:cs="Times New Roman"/>
        </w:rPr>
        <w:t>2</w:t>
      </w:r>
      <w:r>
        <w:rPr>
          <w:rFonts w:hint="eastAsia" w:cs="Times New Roman"/>
        </w:rPr>
        <w:t>）基站不宜在大功率无线电发射台、大功率电视发射台、大功率雷达站和具有电焊设备、</w:t>
      </w:r>
      <w:r>
        <w:rPr>
          <w:rFonts w:cs="Times New Roman"/>
        </w:rPr>
        <w:t>X</w:t>
      </w:r>
      <w:r>
        <w:rPr>
          <w:rFonts w:hint="eastAsia" w:cs="Times New Roman"/>
        </w:rPr>
        <w:t>光设备或生产强脉冲干扰的热合机、高频炉的企业或医疗单位附近设置。</w:t>
      </w:r>
    </w:p>
    <w:p>
      <w:pPr>
        <w:topLinePunct/>
        <w:spacing w:line="360" w:lineRule="auto"/>
        <w:ind w:right="302" w:rightChars="126" w:firstLine="480" w:firstLineChars="200"/>
        <w:rPr>
          <w:rFonts w:cs="Times New Roman"/>
        </w:rPr>
      </w:pPr>
      <w:r>
        <w:rPr>
          <w:rFonts w:hint="eastAsia" w:cs="Times New Roman"/>
        </w:rPr>
        <w:t>（</w:t>
      </w:r>
      <w:r>
        <w:rPr>
          <w:rFonts w:cs="Times New Roman"/>
        </w:rPr>
        <w:t>3</w:t>
      </w:r>
      <w:r>
        <w:rPr>
          <w:rFonts w:hint="eastAsia" w:cs="Times New Roman"/>
        </w:rPr>
        <w:t>）基站建设要求由具备资质的电磁辐射监测机构对拟建地点以及周围环境的电磁辐射水平进行监测，其公众照射导出限值的功率密度一般大于</w:t>
      </w:r>
      <w:r>
        <w:rPr>
          <w:rFonts w:cs="Times New Roman"/>
        </w:rPr>
        <w:t>40</w:t>
      </w:r>
      <w:r>
        <w:rPr>
          <w:rFonts w:hint="eastAsia" w:cs="Times New Roman"/>
        </w:rPr>
        <w:t>μ</w:t>
      </w:r>
      <w:r>
        <w:rPr>
          <w:rFonts w:cs="Times New Roman"/>
        </w:rPr>
        <w:t>W/cm</w:t>
      </w:r>
      <w:r>
        <w:rPr>
          <w:rFonts w:cs="Times New Roman"/>
          <w:vertAlign w:val="superscript"/>
        </w:rPr>
        <w:t>2</w:t>
      </w:r>
      <w:r>
        <w:rPr>
          <w:rFonts w:hint="eastAsia" w:cs="Times New Roman"/>
        </w:rPr>
        <w:t>地区不宜建设基站。</w:t>
      </w:r>
    </w:p>
    <w:p>
      <w:pPr>
        <w:topLinePunct/>
        <w:spacing w:line="360" w:lineRule="auto"/>
        <w:ind w:right="302" w:rightChars="126" w:firstLine="480" w:firstLineChars="200"/>
        <w:rPr>
          <w:rFonts w:cs="Times New Roman"/>
        </w:rPr>
      </w:pPr>
      <w:r>
        <w:rPr>
          <w:rFonts w:hint="eastAsia" w:cs="Times New Roman"/>
        </w:rPr>
        <w:t>（</w:t>
      </w:r>
      <w:r>
        <w:rPr>
          <w:rFonts w:cs="Times New Roman"/>
        </w:rPr>
        <w:t>4</w:t>
      </w:r>
      <w:r>
        <w:rPr>
          <w:rFonts w:hint="eastAsia" w:cs="Times New Roman"/>
        </w:rPr>
        <w:t>）基站建设在雷击区的，必须做好防雷接地保护措施。</w:t>
      </w:r>
    </w:p>
    <w:p>
      <w:pPr>
        <w:topLinePunct/>
        <w:spacing w:line="360" w:lineRule="auto"/>
        <w:ind w:right="302" w:rightChars="126" w:firstLine="480" w:firstLineChars="200"/>
        <w:rPr>
          <w:rFonts w:cs="Times New Roman"/>
        </w:rPr>
      </w:pPr>
      <w:r>
        <w:rPr>
          <w:rFonts w:hint="eastAsia" w:cs="Times New Roman"/>
        </w:rPr>
        <w:t>（</w:t>
      </w:r>
      <w:r>
        <w:rPr>
          <w:rFonts w:cs="Times New Roman"/>
        </w:rPr>
        <w:t>5</w:t>
      </w:r>
      <w:r>
        <w:rPr>
          <w:rFonts w:hint="eastAsia" w:cs="Times New Roman"/>
        </w:rPr>
        <w:t>）站址规划、建设应避免地下管道（强电、地下燃气管道）、人行道的盲道，以路沿线为基准</w:t>
      </w:r>
      <w:r>
        <w:rPr>
          <w:rFonts w:cs="Times New Roman"/>
        </w:rPr>
        <w:t>2</w:t>
      </w:r>
      <w:r>
        <w:rPr>
          <w:rFonts w:hint="eastAsia" w:cs="Times New Roman"/>
        </w:rPr>
        <w:t>～</w:t>
      </w:r>
      <w:r>
        <w:rPr>
          <w:rFonts w:cs="Times New Roman"/>
        </w:rPr>
        <w:t>3m</w:t>
      </w:r>
      <w:r>
        <w:rPr>
          <w:rFonts w:hint="eastAsia" w:cs="Times New Roman"/>
        </w:rPr>
        <w:t>建设。</w:t>
      </w:r>
    </w:p>
    <w:p>
      <w:pPr>
        <w:topLinePunct/>
        <w:spacing w:line="360" w:lineRule="auto"/>
        <w:ind w:right="302" w:rightChars="126" w:firstLine="480" w:firstLineChars="200"/>
        <w:rPr>
          <w:rFonts w:cs="Times New Roman"/>
        </w:rPr>
      </w:pPr>
      <w:r>
        <w:rPr>
          <w:rFonts w:hint="eastAsia" w:cs="Times New Roman"/>
        </w:rPr>
        <w:t>（</w:t>
      </w:r>
      <w:r>
        <w:rPr>
          <w:rFonts w:cs="Times New Roman"/>
        </w:rPr>
        <w:t>6</w:t>
      </w:r>
      <w:r>
        <w:rPr>
          <w:rFonts w:hint="eastAsia" w:cs="Times New Roman"/>
        </w:rPr>
        <w:t>）移动通信基站选址宜避开电磁辐射敏感建筑物。在无法避免时，移动通信基站的发射天线水平方向</w:t>
      </w:r>
      <w:r>
        <w:rPr>
          <w:rFonts w:cs="Times New Roman"/>
        </w:rPr>
        <w:t>30m</w:t>
      </w:r>
      <w:r>
        <w:rPr>
          <w:rFonts w:hint="eastAsia" w:cs="Times New Roman"/>
        </w:rPr>
        <w:t>范围内，不应有高于发射天线的电磁敏感建筑物。</w:t>
      </w:r>
    </w:p>
    <w:p>
      <w:pPr>
        <w:topLinePunct/>
        <w:spacing w:line="360" w:lineRule="auto"/>
        <w:ind w:right="302" w:rightChars="126" w:firstLine="480" w:firstLineChars="200"/>
        <w:rPr>
          <w:rFonts w:cs="Times New Roman"/>
        </w:rPr>
      </w:pPr>
      <w:r>
        <w:rPr>
          <w:rFonts w:hint="eastAsia" w:cs="Times New Roman"/>
        </w:rPr>
        <w:t>（</w:t>
      </w:r>
      <w:r>
        <w:rPr>
          <w:rFonts w:cs="Times New Roman"/>
        </w:rPr>
        <w:t>7</w:t>
      </w:r>
      <w:r>
        <w:rPr>
          <w:rFonts w:hint="eastAsia" w:cs="Times New Roman"/>
        </w:rPr>
        <w:t>）应加强基站的维护管理，必须采取工程安全措施进行加固，避免发生社会公共安全问题。</w:t>
      </w:r>
    </w:p>
    <w:p>
      <w:pPr>
        <w:pStyle w:val="3"/>
      </w:pPr>
      <w:bookmarkStart w:id="58" w:name="_Toc56092708"/>
      <w:bookmarkStart w:id="59" w:name="_Toc55386015"/>
      <w:r>
        <w:t>5G</w:t>
      </w:r>
      <w:r>
        <w:rPr>
          <w:rFonts w:hint="eastAsia"/>
        </w:rPr>
        <w:t>通信基站调整原则</w:t>
      </w:r>
      <w:bookmarkEnd w:id="58"/>
      <w:bookmarkEnd w:id="59"/>
    </w:p>
    <w:p>
      <w:pPr>
        <w:topLinePunct/>
        <w:spacing w:line="360" w:lineRule="auto"/>
        <w:ind w:firstLine="480" w:firstLineChars="200"/>
        <w:rPr>
          <w:rFonts w:cs="Times New Roman"/>
        </w:rPr>
      </w:pPr>
      <w:r>
        <w:rPr>
          <w:rFonts w:hint="eastAsia" w:cs="Times New Roman"/>
        </w:rPr>
        <w:t>站址的选择应尽量符合网络拓扑结构的规则构建理想的蜂窝网络结构，但是在实际的网络建设中，有时无法在蜂窝中心建站，需要在理想站点周围寻找另外的次优站址时需遵循以下原则：</w:t>
      </w:r>
    </w:p>
    <w:p>
      <w:pPr>
        <w:topLinePunct/>
        <w:spacing w:line="360" w:lineRule="auto"/>
        <w:ind w:firstLine="480" w:firstLineChars="200"/>
        <w:rPr>
          <w:rFonts w:cs="Times New Roman"/>
        </w:rPr>
      </w:pPr>
      <w:r>
        <w:rPr>
          <w:rFonts w:cs="Times New Roman"/>
        </w:rPr>
        <w:t>1</w:t>
      </w:r>
      <w:r>
        <w:rPr>
          <w:rFonts w:hint="eastAsia" w:cs="Times New Roman"/>
        </w:rPr>
        <w:t>、要确保预定主要覆盖区信号的覆盖，其偏差不应大于基站区半径的</w:t>
      </w:r>
      <w:r>
        <w:rPr>
          <w:rFonts w:cs="Times New Roman"/>
        </w:rPr>
        <w:t>1/4</w:t>
      </w:r>
      <w:r>
        <w:rPr>
          <w:rFonts w:hint="eastAsia" w:cs="Times New Roman"/>
        </w:rPr>
        <w:t>，在市区所选的站点要尽量保证距主要覆盖区中心点</w:t>
      </w:r>
      <w:r>
        <w:rPr>
          <w:rFonts w:cs="Times New Roman"/>
        </w:rPr>
        <w:t>60m</w:t>
      </w:r>
      <w:r>
        <w:rPr>
          <w:rFonts w:hint="eastAsia" w:cs="Times New Roman"/>
        </w:rPr>
        <w:t>以内；在县城以及工业区地区所选的站点应尽量保证距主要覆盖区中心点</w:t>
      </w:r>
      <w:r>
        <w:rPr>
          <w:rFonts w:cs="Times New Roman"/>
        </w:rPr>
        <w:t>100m</w:t>
      </w:r>
      <w:r>
        <w:rPr>
          <w:rFonts w:hint="eastAsia" w:cs="Times New Roman"/>
        </w:rPr>
        <w:t>以内；在其他及偏远地区所选的站点应尽量保证距主要覆盖区中心点</w:t>
      </w:r>
      <w:r>
        <w:rPr>
          <w:rFonts w:cs="Times New Roman"/>
        </w:rPr>
        <w:t>200m</w:t>
      </w:r>
      <w:r>
        <w:rPr>
          <w:rFonts w:hint="eastAsia" w:cs="Times New Roman"/>
        </w:rPr>
        <w:t>以内。</w:t>
      </w:r>
    </w:p>
    <w:p>
      <w:pPr>
        <w:topLinePunct/>
        <w:spacing w:line="360" w:lineRule="auto"/>
        <w:ind w:firstLine="480" w:firstLineChars="200"/>
        <w:rPr>
          <w:rFonts w:cs="Times New Roman"/>
        </w:rPr>
      </w:pPr>
      <w:r>
        <w:rPr>
          <w:rFonts w:cs="Times New Roman"/>
        </w:rPr>
        <w:t>2</w:t>
      </w:r>
      <w:r>
        <w:rPr>
          <w:rFonts w:hint="eastAsia" w:cs="Times New Roman"/>
        </w:rPr>
        <w:t>、站点分布应根据通信需求的密度分布，优先考虑热点地区，且离基站越近，获得的服务质量越好。</w:t>
      </w:r>
    </w:p>
    <w:p>
      <w:pPr>
        <w:topLinePunct/>
        <w:spacing w:line="360" w:lineRule="auto"/>
        <w:ind w:firstLine="480" w:firstLineChars="200"/>
        <w:rPr>
          <w:rFonts w:cs="Times New Roman"/>
        </w:rPr>
      </w:pPr>
      <w:r>
        <w:rPr>
          <w:rFonts w:cs="Times New Roman"/>
        </w:rPr>
        <w:t>3</w:t>
      </w:r>
      <w:r>
        <w:rPr>
          <w:rFonts w:hint="eastAsia" w:cs="Times New Roman"/>
        </w:rPr>
        <w:t>、城区内的基站在建设过程中，如遇到无法协调的问题导致基站不能按规划落地，建议向相关部门申请适当调整基站的规划位置，同步调整基站的形式、色彩、高度、机房形式等，以推进通信基站的布置。</w:t>
      </w:r>
    </w:p>
    <w:p>
      <w:pPr>
        <w:pStyle w:val="7"/>
        <w:tabs>
          <w:tab w:val="left" w:pos="2681"/>
        </w:tabs>
        <w:spacing w:line="360" w:lineRule="auto"/>
        <w:ind w:left="426" w:firstLine="0" w:firstLineChars="0"/>
        <w:rPr>
          <w:rFonts w:ascii="黑体" w:hAnsi="黑体" w:eastAsia="黑体"/>
          <w:bCs/>
          <w:sz w:val="28"/>
          <w:szCs w:val="28"/>
        </w:rPr>
      </w:pPr>
      <w:r>
        <w:rPr>
          <w:rFonts w:ascii="宋体" w:hAnsi="宋体"/>
          <w:sz w:val="24"/>
          <w:szCs w:val="24"/>
        </w:rPr>
        <w:t>4</w:t>
      </w:r>
      <w:r>
        <w:rPr>
          <w:rFonts w:hint="eastAsia" w:ascii="宋体" w:hAnsi="宋体"/>
          <w:sz w:val="24"/>
          <w:szCs w:val="24"/>
        </w:rPr>
        <w:t>、</w:t>
      </w:r>
      <w:r>
        <w:rPr>
          <w:rFonts w:hint="eastAsia"/>
          <w:sz w:val="24"/>
          <w:szCs w:val="24"/>
        </w:rPr>
        <w:t>如遇土地征收、拆迁等情况需要对现状基站进行拆除的，可与相关部门协调在原址附近另行选址建设基站；或在附近建设临时基站，同时建议该地块建设时在合适位置预留基站空间，待地块建设完成后便于基站回迁。</w:t>
      </w:r>
    </w:p>
    <w:p>
      <w:pPr>
        <w:pStyle w:val="3"/>
      </w:pPr>
      <w:bookmarkStart w:id="60" w:name="_Toc56092709"/>
      <w:bookmarkStart w:id="61" w:name="_Toc55386016"/>
      <w:r>
        <w:t>5G</w:t>
      </w:r>
      <w:r>
        <w:rPr>
          <w:rFonts w:hint="eastAsia"/>
        </w:rPr>
        <w:t>通信基站规划成果</w:t>
      </w:r>
      <w:bookmarkEnd w:id="60"/>
      <w:bookmarkEnd w:id="61"/>
    </w:p>
    <w:p>
      <w:pPr>
        <w:spacing w:line="360" w:lineRule="auto"/>
        <w:ind w:firstLine="480" w:firstLineChars="200"/>
        <w:jc w:val="both"/>
        <w:rPr>
          <w:rFonts w:cs="Times New Roman"/>
          <w:kern w:val="2"/>
        </w:rPr>
      </w:pPr>
      <w:r>
        <w:rPr>
          <w:rFonts w:cs="Times New Roman"/>
          <w:kern w:val="2"/>
        </w:rPr>
        <w:t>1</w:t>
      </w:r>
      <w:r>
        <w:rPr>
          <w:rFonts w:hint="eastAsia" w:cs="Times New Roman"/>
          <w:kern w:val="2"/>
        </w:rPr>
        <w:t>、新增</w:t>
      </w:r>
      <w:r>
        <w:rPr>
          <w:rFonts w:cs="Times New Roman"/>
          <w:kern w:val="2"/>
        </w:rPr>
        <w:t>5G</w:t>
      </w:r>
      <w:r>
        <w:rPr>
          <w:rFonts w:hint="eastAsia" w:cs="Times New Roman"/>
          <w:kern w:val="2"/>
        </w:rPr>
        <w:t>基站规划应首先考虑现有站址改造，其次利用社会公共资源如：路灯杆、监控杆、交通指示牌等。若需新建应优选城市绿地、广场用地和道路隔离带等公共用地区域，提高共建共享率。</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、规划梁平中心城区平均站间距约</w:t>
      </w:r>
      <w:r>
        <w:rPr>
          <w:rFonts w:cs="Times New Roman"/>
          <w:kern w:val="2"/>
        </w:rPr>
        <w:t>200</w:t>
      </w:r>
      <w:r>
        <w:rPr>
          <w:rFonts w:hint="eastAsia" w:cs="Times New Roman"/>
          <w:kern w:val="2"/>
        </w:rPr>
        <w:t>米，单站覆盖面积约</w:t>
      </w:r>
      <w:r>
        <w:rPr>
          <w:rFonts w:cs="Times New Roman"/>
          <w:kern w:val="2"/>
        </w:rPr>
        <w:t>0.035</w:t>
      </w:r>
      <w:r>
        <w:rPr>
          <w:rFonts w:hint="eastAsia" w:cs="Times New Roman"/>
          <w:kern w:val="2"/>
        </w:rPr>
        <w:t>平方公里；规划梁平新城区平均站间距约</w:t>
      </w:r>
      <w:r>
        <w:rPr>
          <w:rFonts w:cs="Times New Roman"/>
          <w:kern w:val="2"/>
        </w:rPr>
        <w:t>200</w:t>
      </w:r>
      <w:r>
        <w:rPr>
          <w:rFonts w:hint="eastAsia" w:cs="Times New Roman"/>
          <w:kern w:val="2"/>
        </w:rPr>
        <w:t>米，单站覆盖面积约</w:t>
      </w:r>
      <w:r>
        <w:rPr>
          <w:rFonts w:cs="Times New Roman"/>
          <w:kern w:val="2"/>
        </w:rPr>
        <w:t>0.035</w:t>
      </w:r>
      <w:r>
        <w:rPr>
          <w:rFonts w:hint="eastAsia" w:cs="Times New Roman"/>
          <w:kern w:val="2"/>
        </w:rPr>
        <w:t>平方公里；乡镇场镇平均站距约</w:t>
      </w:r>
      <w:r>
        <w:rPr>
          <w:rFonts w:cs="Times New Roman"/>
          <w:kern w:val="2"/>
        </w:rPr>
        <w:t>200-300</w:t>
      </w:r>
      <w:r>
        <w:rPr>
          <w:rFonts w:hint="eastAsia" w:cs="Times New Roman"/>
          <w:kern w:val="2"/>
        </w:rPr>
        <w:t>米，单站覆盖面积约</w:t>
      </w:r>
      <w:r>
        <w:rPr>
          <w:rFonts w:cs="Times New Roman"/>
          <w:kern w:val="2"/>
        </w:rPr>
        <w:t>0.078</w:t>
      </w:r>
      <w:r>
        <w:rPr>
          <w:rFonts w:hint="eastAsia" w:cs="Times New Roman"/>
          <w:kern w:val="2"/>
        </w:rPr>
        <w:t>平方公里。</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、规划期内，梁平区规划建设</w:t>
      </w:r>
      <w:r>
        <w:rPr>
          <w:rFonts w:cs="Times New Roman"/>
          <w:kern w:val="2"/>
        </w:rPr>
        <w:t>5G</w:t>
      </w:r>
      <w:r>
        <w:rPr>
          <w:rFonts w:hint="eastAsia" w:cs="Times New Roman"/>
          <w:kern w:val="2"/>
        </w:rPr>
        <w:t>物理站址</w:t>
      </w:r>
      <w:r>
        <w:rPr>
          <w:rFonts w:cs="Times New Roman"/>
          <w:kern w:val="2"/>
        </w:rPr>
        <w:t>1600</w:t>
      </w:r>
      <w:r>
        <w:rPr>
          <w:rFonts w:hint="eastAsia" w:cs="Times New Roman"/>
          <w:kern w:val="2"/>
        </w:rPr>
        <w:t>个，其中梁平城区</w:t>
      </w:r>
      <w:r>
        <w:rPr>
          <w:rFonts w:cs="Times New Roman"/>
          <w:kern w:val="2"/>
        </w:rPr>
        <w:t>340</w:t>
      </w:r>
      <w:r>
        <w:rPr>
          <w:rFonts w:hint="eastAsia" w:cs="Times New Roman"/>
          <w:kern w:val="2"/>
        </w:rPr>
        <w:t>个，工业园区</w:t>
      </w:r>
      <w:r>
        <w:rPr>
          <w:rFonts w:cs="Times New Roman"/>
          <w:kern w:val="2"/>
        </w:rPr>
        <w:t>244</w:t>
      </w:r>
      <w:r>
        <w:rPr>
          <w:rFonts w:hint="eastAsia" w:cs="Times New Roman"/>
          <w:kern w:val="2"/>
        </w:rPr>
        <w:t>个，乡镇</w:t>
      </w:r>
      <w:r>
        <w:rPr>
          <w:rFonts w:cs="Times New Roman"/>
          <w:kern w:val="2"/>
        </w:rPr>
        <w:t>714</w:t>
      </w:r>
      <w:r>
        <w:rPr>
          <w:rFonts w:hint="eastAsia" w:cs="Times New Roman"/>
          <w:kern w:val="2"/>
        </w:rPr>
        <w:t>个，景区</w:t>
      </w:r>
      <w:r>
        <w:rPr>
          <w:rFonts w:cs="Times New Roman"/>
          <w:kern w:val="2"/>
        </w:rPr>
        <w:t>64</w:t>
      </w:r>
      <w:r>
        <w:rPr>
          <w:rFonts w:hint="eastAsia" w:cs="Times New Roman"/>
          <w:kern w:val="2"/>
        </w:rPr>
        <w:t>个，交通干线</w:t>
      </w:r>
      <w:r>
        <w:rPr>
          <w:rFonts w:cs="Times New Roman"/>
          <w:kern w:val="2"/>
        </w:rPr>
        <w:t>115</w:t>
      </w:r>
      <w:r>
        <w:rPr>
          <w:rFonts w:hint="eastAsia" w:cs="Times New Roman"/>
          <w:kern w:val="2"/>
        </w:rPr>
        <w:t>个，室内</w:t>
      </w:r>
      <w:r>
        <w:rPr>
          <w:rFonts w:cs="Times New Roman"/>
          <w:kern w:val="2"/>
        </w:rPr>
        <w:t>5G</w:t>
      </w:r>
      <w:r>
        <w:rPr>
          <w:rFonts w:hint="eastAsia" w:cs="Times New Roman"/>
          <w:kern w:val="2"/>
        </w:rPr>
        <w:t>综合分布系统覆盖站址</w:t>
      </w:r>
      <w:r>
        <w:rPr>
          <w:rFonts w:cs="Times New Roman"/>
          <w:kern w:val="2"/>
        </w:rPr>
        <w:t>123</w:t>
      </w:r>
      <w:r>
        <w:rPr>
          <w:rFonts w:hint="eastAsia" w:cs="Times New Roman"/>
          <w:kern w:val="2"/>
        </w:rPr>
        <w:t>个，可满足三家基础电信企业以及广电网络</w:t>
      </w:r>
      <w:r>
        <w:rPr>
          <w:rFonts w:cs="Times New Roman"/>
          <w:kern w:val="2"/>
        </w:rPr>
        <w:t>5G</w:t>
      </w:r>
      <w:r>
        <w:rPr>
          <w:rFonts w:hint="eastAsia" w:cs="Times New Roman"/>
          <w:kern w:val="2"/>
        </w:rPr>
        <w:t>业务建设需求</w:t>
      </w:r>
      <w:r>
        <w:rPr>
          <w:rFonts w:cs="Times New Roman"/>
          <w:kern w:val="2"/>
        </w:rPr>
        <w:t>4800</w:t>
      </w:r>
      <w:r>
        <w:rPr>
          <w:rFonts w:hint="eastAsia" w:cs="Times New Roman"/>
          <w:kern w:val="2"/>
        </w:rPr>
        <w:t>个。</w:t>
      </w:r>
    </w:p>
    <w:p>
      <w:pPr>
        <w:spacing w:line="360" w:lineRule="auto"/>
        <w:ind w:firstLine="480" w:firstLineChars="200"/>
        <w:jc w:val="both"/>
        <w:rPr>
          <w:rFonts w:cs="Times New Roman"/>
          <w:kern w:val="2"/>
        </w:rPr>
      </w:pPr>
      <w:r>
        <w:rPr>
          <w:rFonts w:hint="eastAsia" w:cs="Times New Roman"/>
          <w:kern w:val="2"/>
        </w:rPr>
        <w:t>近期室外宏站</w:t>
      </w:r>
      <w:r>
        <w:rPr>
          <w:rFonts w:cs="Times New Roman"/>
          <w:kern w:val="2"/>
        </w:rPr>
        <w:t>962</w:t>
      </w:r>
      <w:r>
        <w:rPr>
          <w:rFonts w:hint="eastAsia" w:cs="Times New Roman"/>
          <w:kern w:val="2"/>
        </w:rPr>
        <w:t>个（其中新建</w:t>
      </w:r>
      <w:r>
        <w:rPr>
          <w:rFonts w:cs="Times New Roman"/>
          <w:kern w:val="2"/>
        </w:rPr>
        <w:t>239</w:t>
      </w:r>
      <w:r>
        <w:rPr>
          <w:rFonts w:hint="eastAsia" w:cs="Times New Roman"/>
          <w:kern w:val="2"/>
        </w:rPr>
        <w:t>个，改造现网</w:t>
      </w:r>
      <w:r>
        <w:rPr>
          <w:rFonts w:cs="Times New Roman"/>
          <w:kern w:val="2"/>
        </w:rPr>
        <w:t>645</w:t>
      </w:r>
      <w:r>
        <w:rPr>
          <w:rFonts w:hint="eastAsia" w:cs="Times New Roman"/>
          <w:kern w:val="2"/>
        </w:rPr>
        <w:t>个，改造社会资源</w:t>
      </w:r>
      <w:r>
        <w:rPr>
          <w:rFonts w:cs="Times New Roman"/>
          <w:kern w:val="2"/>
        </w:rPr>
        <w:t>78</w:t>
      </w:r>
      <w:r>
        <w:rPr>
          <w:rFonts w:hint="eastAsia" w:cs="Times New Roman"/>
          <w:kern w:val="2"/>
        </w:rPr>
        <w:t>个），远期室外宏站</w:t>
      </w:r>
      <w:r>
        <w:rPr>
          <w:rFonts w:cs="Times New Roman"/>
          <w:kern w:val="2"/>
        </w:rPr>
        <w:t>515</w:t>
      </w:r>
      <w:r>
        <w:rPr>
          <w:rFonts w:hint="eastAsia" w:cs="Times New Roman"/>
          <w:kern w:val="2"/>
        </w:rPr>
        <w:t>个（其中新建</w:t>
      </w:r>
      <w:r>
        <w:rPr>
          <w:rFonts w:cs="Times New Roman"/>
          <w:kern w:val="2"/>
        </w:rPr>
        <w:t>59</w:t>
      </w:r>
      <w:r>
        <w:rPr>
          <w:rFonts w:hint="eastAsia" w:cs="Times New Roman"/>
          <w:kern w:val="2"/>
        </w:rPr>
        <w:t>个，改造现网</w:t>
      </w:r>
      <w:r>
        <w:rPr>
          <w:rFonts w:cs="Times New Roman"/>
          <w:kern w:val="2"/>
        </w:rPr>
        <w:t>456</w:t>
      </w:r>
      <w:r>
        <w:rPr>
          <w:rFonts w:hint="eastAsia" w:cs="Times New Roman"/>
          <w:kern w:val="2"/>
        </w:rPr>
        <w:t>个）；近期室内分布系统站址</w:t>
      </w:r>
      <w:r>
        <w:rPr>
          <w:rFonts w:cs="Times New Roman"/>
          <w:kern w:val="2"/>
        </w:rPr>
        <w:t>82</w:t>
      </w:r>
      <w:r>
        <w:rPr>
          <w:rFonts w:hint="eastAsia" w:cs="Times New Roman"/>
          <w:kern w:val="2"/>
        </w:rPr>
        <w:t>个（其中新建</w:t>
      </w:r>
      <w:r>
        <w:rPr>
          <w:rFonts w:cs="Times New Roman"/>
          <w:kern w:val="2"/>
        </w:rPr>
        <w:t>38</w:t>
      </w:r>
      <w:r>
        <w:rPr>
          <w:rFonts w:hint="eastAsia" w:cs="Times New Roman"/>
          <w:kern w:val="2"/>
        </w:rPr>
        <w:t>个，改造现网</w:t>
      </w:r>
      <w:r>
        <w:rPr>
          <w:rFonts w:cs="Times New Roman"/>
          <w:kern w:val="2"/>
        </w:rPr>
        <w:t>44</w:t>
      </w:r>
      <w:r>
        <w:rPr>
          <w:rFonts w:hint="eastAsia" w:cs="Times New Roman"/>
          <w:kern w:val="2"/>
        </w:rPr>
        <w:t>个），远期室内分布系统站址</w:t>
      </w:r>
      <w:r>
        <w:rPr>
          <w:rFonts w:cs="Times New Roman"/>
          <w:kern w:val="2"/>
        </w:rPr>
        <w:t>41</w:t>
      </w:r>
      <w:r>
        <w:rPr>
          <w:rFonts w:hint="eastAsia" w:cs="Times New Roman"/>
          <w:kern w:val="2"/>
        </w:rPr>
        <w:t>个（新建</w:t>
      </w:r>
      <w:r>
        <w:rPr>
          <w:rFonts w:cs="Times New Roman"/>
          <w:kern w:val="2"/>
        </w:rPr>
        <w:t>41</w:t>
      </w:r>
      <w:r>
        <w:rPr>
          <w:rFonts w:hint="eastAsia" w:cs="Times New Roman"/>
          <w:kern w:val="2"/>
        </w:rPr>
        <w:t>个）。</w:t>
      </w:r>
      <w:r>
        <w:rPr>
          <w:rFonts w:cs="Times New Roman"/>
          <w:kern w:val="2"/>
        </w:rPr>
        <w:t xml:space="preserve"> </w:t>
      </w:r>
    </w:p>
    <w:p>
      <w:pPr>
        <w:spacing w:line="360" w:lineRule="auto"/>
        <w:ind w:firstLine="480" w:firstLineChars="200"/>
        <w:jc w:val="both"/>
        <w:rPr>
          <w:rFonts w:cs="Times New Roman"/>
          <w:kern w:val="2"/>
        </w:rPr>
      </w:pPr>
      <w:r>
        <w:rPr>
          <w:rFonts w:cs="Times New Roman"/>
          <w:kern w:val="2"/>
        </w:rPr>
        <w:t>1600</w:t>
      </w:r>
      <w:r>
        <w:rPr>
          <w:rFonts w:hint="eastAsia" w:cs="Times New Roman"/>
          <w:kern w:val="2"/>
        </w:rPr>
        <w:t>个</w:t>
      </w:r>
      <w:r>
        <w:rPr>
          <w:rFonts w:cs="Times New Roman"/>
          <w:kern w:val="2"/>
        </w:rPr>
        <w:t>5G</w:t>
      </w:r>
      <w:r>
        <w:rPr>
          <w:rFonts w:hint="eastAsia" w:cs="Times New Roman"/>
          <w:kern w:val="2"/>
        </w:rPr>
        <w:t>规划站址分两阶段实施建设。规划一阶段（</w:t>
      </w:r>
      <w:r>
        <w:rPr>
          <w:rFonts w:cs="Times New Roman"/>
          <w:kern w:val="2"/>
        </w:rPr>
        <w:t>2020-2022</w:t>
      </w:r>
      <w:r>
        <w:rPr>
          <w:rFonts w:hint="eastAsia" w:cs="Times New Roman"/>
          <w:kern w:val="2"/>
        </w:rPr>
        <w:t>年）完成规划总量</w:t>
      </w:r>
      <w:r>
        <w:rPr>
          <w:rFonts w:cs="Times New Roman"/>
          <w:kern w:val="2"/>
        </w:rPr>
        <w:t>60%</w:t>
      </w:r>
      <w:r>
        <w:rPr>
          <w:rFonts w:hint="eastAsia" w:cs="Times New Roman"/>
          <w:kern w:val="2"/>
        </w:rPr>
        <w:t>建设。规划二阶段（</w:t>
      </w:r>
      <w:r>
        <w:rPr>
          <w:rFonts w:cs="Times New Roman"/>
          <w:kern w:val="2"/>
        </w:rPr>
        <w:t>2023-2025</w:t>
      </w:r>
      <w:r>
        <w:rPr>
          <w:rFonts w:hint="eastAsia" w:cs="Times New Roman"/>
          <w:kern w:val="2"/>
        </w:rPr>
        <w:t>年）完成规划总量</w:t>
      </w:r>
      <w:r>
        <w:rPr>
          <w:rFonts w:cs="Times New Roman"/>
          <w:kern w:val="2"/>
        </w:rPr>
        <w:t>40%</w:t>
      </w:r>
      <w:r>
        <w:rPr>
          <w:rFonts w:hint="eastAsia" w:cs="Times New Roman"/>
          <w:kern w:val="2"/>
        </w:rPr>
        <w:t>建设。</w:t>
      </w:r>
    </w:p>
    <w:p>
      <w:pPr>
        <w:spacing w:line="360" w:lineRule="auto"/>
        <w:ind w:firstLine="480" w:firstLineChars="200"/>
        <w:jc w:val="both"/>
        <w:rPr>
          <w:rFonts w:cs="Times New Roman"/>
          <w:kern w:val="2"/>
        </w:rPr>
      </w:pPr>
      <w:r>
        <w:rPr>
          <w:rFonts w:hint="eastAsia" w:cs="Times New Roman"/>
          <w:kern w:val="2"/>
        </w:rPr>
        <w:t>另有储备监控杆、交通指示牌、红绿灯、道路指示牌等站址资源</w:t>
      </w:r>
      <w:r>
        <w:rPr>
          <w:rFonts w:cs="Times New Roman"/>
          <w:kern w:val="2"/>
        </w:rPr>
        <w:t>568</w:t>
      </w:r>
      <w:r>
        <w:rPr>
          <w:rFonts w:hint="eastAsia" w:cs="Times New Roman"/>
          <w:kern w:val="2"/>
        </w:rPr>
        <w:t>个，满足规划期内外</w:t>
      </w:r>
      <w:r>
        <w:rPr>
          <w:rFonts w:cs="Times New Roman"/>
          <w:kern w:val="2"/>
        </w:rPr>
        <w:t>5G</w:t>
      </w:r>
      <w:r>
        <w:rPr>
          <w:rFonts w:hint="eastAsia" w:cs="Times New Roman"/>
          <w:kern w:val="2"/>
        </w:rPr>
        <w:t>基站柔性建设需求；储备资源站点，在规划二阶段（</w:t>
      </w:r>
      <w:r>
        <w:rPr>
          <w:rFonts w:cs="Times New Roman"/>
          <w:kern w:val="2"/>
        </w:rPr>
        <w:t>2023-2025</w:t>
      </w:r>
      <w:r>
        <w:rPr>
          <w:rFonts w:hint="eastAsia" w:cs="Times New Roman"/>
          <w:kern w:val="2"/>
        </w:rPr>
        <w:t>年）完成改造建设。</w:t>
      </w:r>
    </w:p>
    <w:p>
      <w:pPr>
        <w:spacing w:line="360" w:lineRule="auto"/>
        <w:ind w:firstLine="480" w:firstLineChars="200"/>
        <w:jc w:val="center"/>
        <w:rPr>
          <w:rFonts w:cs="Times New Roman"/>
          <w:bCs/>
          <w:kern w:val="2"/>
        </w:rPr>
      </w:pPr>
      <w:bookmarkStart w:id="62" w:name="_Hlk48730104"/>
    </w:p>
    <w:p>
      <w:pPr>
        <w:spacing w:line="360" w:lineRule="auto"/>
        <w:ind w:firstLine="480" w:firstLineChars="200"/>
        <w:jc w:val="center"/>
        <w:rPr>
          <w:rFonts w:cs="Times New Roman"/>
          <w:bCs/>
          <w:kern w:val="2"/>
        </w:rPr>
      </w:pPr>
    </w:p>
    <w:p>
      <w:pPr>
        <w:pStyle w:val="8"/>
        <w:spacing w:before="65" w:after="65"/>
      </w:pPr>
      <w:r>
        <w:rPr>
          <w:rFonts w:hint="eastAsia"/>
        </w:rPr>
        <w:t>表</w:t>
      </w:r>
      <w:r>
        <w:t xml:space="preserve">4-2 </w:t>
      </w:r>
      <w:r>
        <w:rPr>
          <w:rFonts w:hint="eastAsia"/>
        </w:rPr>
        <w:t>梁平区</w:t>
      </w:r>
      <w:r>
        <w:t>5G</w:t>
      </w:r>
      <w:r>
        <w:rPr>
          <w:rFonts w:hint="eastAsia"/>
        </w:rPr>
        <w:t>通信基站规划建设类型表</w:t>
      </w:r>
    </w:p>
    <w:bookmarkEnd w:id="62"/>
    <w:tbl>
      <w:tblPr>
        <w:tblStyle w:val="30"/>
        <w:tblW w:w="8978" w:type="dxa"/>
        <w:tblInd w:w="113" w:type="dxa"/>
        <w:tblLayout w:type="autofit"/>
        <w:tblCellMar>
          <w:top w:w="0" w:type="dxa"/>
          <w:left w:w="108" w:type="dxa"/>
          <w:bottom w:w="0" w:type="dxa"/>
          <w:right w:w="108" w:type="dxa"/>
        </w:tblCellMar>
      </w:tblPr>
      <w:tblGrid>
        <w:gridCol w:w="731"/>
        <w:gridCol w:w="6068"/>
        <w:gridCol w:w="2179"/>
      </w:tblGrid>
      <w:tr>
        <w:tblPrEx>
          <w:tblCellMar>
            <w:top w:w="0" w:type="dxa"/>
            <w:left w:w="108" w:type="dxa"/>
            <w:bottom w:w="0" w:type="dxa"/>
            <w:right w:w="108" w:type="dxa"/>
          </w:tblCellMar>
        </w:tblPrEx>
        <w:trPr>
          <w:trHeight w:val="528" w:hRule="atLeast"/>
        </w:trPr>
        <w:tc>
          <w:tcPr>
            <w:tcW w:w="731" w:type="dxa"/>
            <w:tcBorders>
              <w:top w:val="single" w:color="auto" w:sz="4" w:space="0"/>
              <w:left w:val="single" w:color="auto" w:sz="4" w:space="0"/>
              <w:bottom w:val="single" w:color="auto" w:sz="4" w:space="0"/>
              <w:right w:val="single" w:color="auto" w:sz="4" w:space="0"/>
            </w:tcBorders>
            <w:noWrap/>
            <w:vAlign w:val="center"/>
          </w:tcPr>
          <w:p>
            <w:pPr>
              <w:jc w:val="center"/>
              <w:rPr>
                <w:b/>
                <w:bCs/>
                <w:color w:val="000000"/>
              </w:rPr>
            </w:pPr>
            <w:r>
              <w:rPr>
                <w:rFonts w:hint="eastAsia"/>
                <w:b/>
                <w:bCs/>
                <w:color w:val="000000"/>
              </w:rPr>
              <w:t>序号</w:t>
            </w:r>
          </w:p>
        </w:tc>
        <w:tc>
          <w:tcPr>
            <w:tcW w:w="6068" w:type="dxa"/>
            <w:tcBorders>
              <w:top w:val="single" w:color="auto" w:sz="4" w:space="0"/>
              <w:left w:val="nil"/>
              <w:bottom w:val="single" w:color="auto" w:sz="4" w:space="0"/>
              <w:right w:val="single" w:color="auto" w:sz="4" w:space="0"/>
            </w:tcBorders>
            <w:noWrap/>
            <w:vAlign w:val="center"/>
          </w:tcPr>
          <w:p>
            <w:pPr>
              <w:jc w:val="center"/>
              <w:rPr>
                <w:b/>
                <w:bCs/>
                <w:color w:val="000000"/>
              </w:rPr>
            </w:pPr>
            <w:r>
              <w:rPr>
                <w:rFonts w:hint="eastAsia"/>
                <w:b/>
                <w:bCs/>
                <w:color w:val="000000"/>
              </w:rPr>
              <w:t>类型</w:t>
            </w:r>
          </w:p>
        </w:tc>
        <w:tc>
          <w:tcPr>
            <w:tcW w:w="2179" w:type="dxa"/>
            <w:tcBorders>
              <w:top w:val="single" w:color="auto" w:sz="4" w:space="0"/>
              <w:left w:val="nil"/>
              <w:bottom w:val="single" w:color="auto" w:sz="4" w:space="0"/>
              <w:right w:val="single" w:color="auto" w:sz="4" w:space="0"/>
            </w:tcBorders>
            <w:noWrap/>
            <w:vAlign w:val="center"/>
          </w:tcPr>
          <w:p>
            <w:pPr>
              <w:jc w:val="center"/>
              <w:rPr>
                <w:b/>
                <w:bCs/>
                <w:color w:val="000000"/>
              </w:rPr>
            </w:pPr>
            <w:r>
              <w:rPr>
                <w:rFonts w:hint="eastAsia"/>
                <w:b/>
                <w:bCs/>
                <w:color w:val="000000"/>
              </w:rPr>
              <w:t>数量（个）</w:t>
            </w:r>
          </w:p>
        </w:tc>
      </w:tr>
      <w:tr>
        <w:tblPrEx>
          <w:tblCellMar>
            <w:top w:w="0" w:type="dxa"/>
            <w:left w:w="108" w:type="dxa"/>
            <w:bottom w:w="0" w:type="dxa"/>
            <w:right w:w="108" w:type="dxa"/>
          </w:tblCellMar>
        </w:tblPrEx>
        <w:trPr>
          <w:trHeight w:val="528" w:hRule="atLeast"/>
        </w:trPr>
        <w:tc>
          <w:tcPr>
            <w:tcW w:w="731"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1</w:t>
            </w:r>
          </w:p>
        </w:tc>
        <w:tc>
          <w:tcPr>
            <w:tcW w:w="6068"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改造现有基站</w:t>
            </w:r>
          </w:p>
        </w:tc>
        <w:tc>
          <w:tcPr>
            <w:tcW w:w="2179" w:type="dxa"/>
            <w:tcBorders>
              <w:top w:val="nil"/>
              <w:left w:val="nil"/>
              <w:bottom w:val="single" w:color="auto" w:sz="4" w:space="0"/>
              <w:right w:val="single" w:color="auto" w:sz="4" w:space="0"/>
            </w:tcBorders>
            <w:noWrap/>
            <w:vAlign w:val="center"/>
          </w:tcPr>
          <w:p>
            <w:pPr>
              <w:jc w:val="center"/>
              <w:rPr>
                <w:color w:val="000000"/>
              </w:rPr>
            </w:pPr>
            <w:r>
              <w:rPr>
                <w:color w:val="000000"/>
              </w:rPr>
              <w:t>1101</w:t>
            </w:r>
          </w:p>
        </w:tc>
      </w:tr>
      <w:tr>
        <w:tblPrEx>
          <w:tblCellMar>
            <w:top w:w="0" w:type="dxa"/>
            <w:left w:w="108" w:type="dxa"/>
            <w:bottom w:w="0" w:type="dxa"/>
            <w:right w:w="108" w:type="dxa"/>
          </w:tblCellMar>
        </w:tblPrEx>
        <w:trPr>
          <w:trHeight w:val="528" w:hRule="atLeast"/>
        </w:trPr>
        <w:tc>
          <w:tcPr>
            <w:tcW w:w="731"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2</w:t>
            </w:r>
          </w:p>
        </w:tc>
        <w:tc>
          <w:tcPr>
            <w:tcW w:w="6068"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新建室外基站</w:t>
            </w:r>
          </w:p>
        </w:tc>
        <w:tc>
          <w:tcPr>
            <w:tcW w:w="2179" w:type="dxa"/>
            <w:tcBorders>
              <w:top w:val="nil"/>
              <w:left w:val="nil"/>
              <w:bottom w:val="single" w:color="auto" w:sz="4" w:space="0"/>
              <w:right w:val="single" w:color="auto" w:sz="4" w:space="0"/>
            </w:tcBorders>
            <w:noWrap/>
            <w:vAlign w:val="center"/>
          </w:tcPr>
          <w:p>
            <w:pPr>
              <w:jc w:val="center"/>
              <w:rPr>
                <w:color w:val="000000"/>
              </w:rPr>
            </w:pPr>
            <w:r>
              <w:rPr>
                <w:color w:val="000000"/>
              </w:rPr>
              <w:t>298</w:t>
            </w:r>
          </w:p>
        </w:tc>
      </w:tr>
      <w:tr>
        <w:tblPrEx>
          <w:tblCellMar>
            <w:top w:w="0" w:type="dxa"/>
            <w:left w:w="108" w:type="dxa"/>
            <w:bottom w:w="0" w:type="dxa"/>
            <w:right w:w="108" w:type="dxa"/>
          </w:tblCellMar>
        </w:tblPrEx>
        <w:trPr>
          <w:trHeight w:val="528" w:hRule="atLeast"/>
        </w:trPr>
        <w:tc>
          <w:tcPr>
            <w:tcW w:w="731"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3</w:t>
            </w:r>
          </w:p>
        </w:tc>
        <w:tc>
          <w:tcPr>
            <w:tcW w:w="6068"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改造社会资源</w:t>
            </w:r>
          </w:p>
        </w:tc>
        <w:tc>
          <w:tcPr>
            <w:tcW w:w="2179" w:type="dxa"/>
            <w:tcBorders>
              <w:top w:val="nil"/>
              <w:left w:val="nil"/>
              <w:bottom w:val="single" w:color="auto" w:sz="4" w:space="0"/>
              <w:right w:val="single" w:color="auto" w:sz="4" w:space="0"/>
            </w:tcBorders>
            <w:noWrap/>
            <w:vAlign w:val="center"/>
          </w:tcPr>
          <w:p>
            <w:pPr>
              <w:jc w:val="center"/>
              <w:rPr>
                <w:color w:val="000000"/>
              </w:rPr>
            </w:pPr>
            <w:r>
              <w:rPr>
                <w:color w:val="000000"/>
              </w:rPr>
              <w:t>78</w:t>
            </w:r>
          </w:p>
        </w:tc>
      </w:tr>
      <w:tr>
        <w:tblPrEx>
          <w:tblCellMar>
            <w:top w:w="0" w:type="dxa"/>
            <w:left w:w="108" w:type="dxa"/>
            <w:bottom w:w="0" w:type="dxa"/>
            <w:right w:w="108" w:type="dxa"/>
          </w:tblCellMar>
        </w:tblPrEx>
        <w:trPr>
          <w:trHeight w:val="528" w:hRule="atLeast"/>
        </w:trPr>
        <w:tc>
          <w:tcPr>
            <w:tcW w:w="731"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4</w:t>
            </w:r>
          </w:p>
        </w:tc>
        <w:tc>
          <w:tcPr>
            <w:tcW w:w="6068"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新建室内分布及综合覆盖系统</w:t>
            </w:r>
          </w:p>
        </w:tc>
        <w:tc>
          <w:tcPr>
            <w:tcW w:w="2179" w:type="dxa"/>
            <w:tcBorders>
              <w:top w:val="nil"/>
              <w:left w:val="nil"/>
              <w:bottom w:val="single" w:color="auto" w:sz="4" w:space="0"/>
              <w:right w:val="single" w:color="auto" w:sz="4" w:space="0"/>
            </w:tcBorders>
            <w:noWrap/>
            <w:vAlign w:val="center"/>
          </w:tcPr>
          <w:p>
            <w:pPr>
              <w:jc w:val="center"/>
              <w:rPr>
                <w:color w:val="000000"/>
              </w:rPr>
            </w:pPr>
            <w:r>
              <w:rPr>
                <w:color w:val="000000"/>
              </w:rPr>
              <w:t>123</w:t>
            </w:r>
          </w:p>
        </w:tc>
      </w:tr>
      <w:tr>
        <w:tblPrEx>
          <w:tblCellMar>
            <w:top w:w="0" w:type="dxa"/>
            <w:left w:w="108" w:type="dxa"/>
            <w:bottom w:w="0" w:type="dxa"/>
            <w:right w:w="108" w:type="dxa"/>
          </w:tblCellMar>
        </w:tblPrEx>
        <w:trPr>
          <w:trHeight w:val="528" w:hRule="atLeast"/>
        </w:trPr>
        <w:tc>
          <w:tcPr>
            <w:tcW w:w="731"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5</w:t>
            </w:r>
          </w:p>
        </w:tc>
        <w:tc>
          <w:tcPr>
            <w:tcW w:w="6068"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合计</w:t>
            </w:r>
          </w:p>
        </w:tc>
        <w:tc>
          <w:tcPr>
            <w:tcW w:w="2179" w:type="dxa"/>
            <w:tcBorders>
              <w:top w:val="nil"/>
              <w:left w:val="nil"/>
              <w:bottom w:val="single" w:color="auto" w:sz="4" w:space="0"/>
              <w:right w:val="single" w:color="auto" w:sz="4" w:space="0"/>
            </w:tcBorders>
            <w:noWrap/>
            <w:vAlign w:val="center"/>
          </w:tcPr>
          <w:p>
            <w:pPr>
              <w:jc w:val="center"/>
              <w:rPr>
                <w:color w:val="000000"/>
              </w:rPr>
            </w:pPr>
            <w:r>
              <w:rPr>
                <w:color w:val="000000"/>
              </w:rPr>
              <w:t>1600</w:t>
            </w:r>
          </w:p>
        </w:tc>
      </w:tr>
      <w:tr>
        <w:tblPrEx>
          <w:tblCellMar>
            <w:top w:w="0" w:type="dxa"/>
            <w:left w:w="108" w:type="dxa"/>
            <w:bottom w:w="0" w:type="dxa"/>
            <w:right w:w="108" w:type="dxa"/>
          </w:tblCellMar>
        </w:tblPrEx>
        <w:trPr>
          <w:trHeight w:val="528" w:hRule="atLeast"/>
        </w:trPr>
        <w:tc>
          <w:tcPr>
            <w:tcW w:w="731"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6</w:t>
            </w:r>
          </w:p>
        </w:tc>
        <w:tc>
          <w:tcPr>
            <w:tcW w:w="6068"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站址储备资源（监控杆、交通指示牌、道路指示牌）</w:t>
            </w:r>
          </w:p>
        </w:tc>
        <w:tc>
          <w:tcPr>
            <w:tcW w:w="2179" w:type="dxa"/>
            <w:tcBorders>
              <w:top w:val="nil"/>
              <w:left w:val="nil"/>
              <w:bottom w:val="single" w:color="auto" w:sz="4" w:space="0"/>
              <w:right w:val="single" w:color="auto" w:sz="4" w:space="0"/>
            </w:tcBorders>
            <w:noWrap/>
            <w:vAlign w:val="center"/>
          </w:tcPr>
          <w:p>
            <w:pPr>
              <w:jc w:val="center"/>
              <w:rPr>
                <w:color w:val="000000"/>
              </w:rPr>
            </w:pPr>
            <w:r>
              <w:rPr>
                <w:color w:val="000000"/>
              </w:rPr>
              <w:t>568</w:t>
            </w:r>
          </w:p>
        </w:tc>
      </w:tr>
    </w:tbl>
    <w:p>
      <w:pPr>
        <w:spacing w:line="360" w:lineRule="auto"/>
        <w:ind w:firstLine="480" w:firstLineChars="200"/>
        <w:jc w:val="both"/>
        <w:rPr>
          <w:rFonts w:cs="Times New Roman"/>
          <w:kern w:val="2"/>
        </w:rPr>
      </w:pPr>
    </w:p>
    <w:p>
      <w:pPr>
        <w:topLinePunct/>
        <w:spacing w:line="360" w:lineRule="auto"/>
        <w:ind w:firstLine="480" w:firstLineChars="200"/>
        <w:rPr>
          <w:rFonts w:cs="Times New Roman"/>
        </w:rPr>
      </w:pPr>
      <w:r>
        <w:rPr>
          <w:rFonts w:cs="Times New Roman"/>
        </w:rPr>
        <w:t>4</w:t>
      </w:r>
      <w:r>
        <w:rPr>
          <w:rFonts w:hint="eastAsia" w:cs="Times New Roman"/>
        </w:rPr>
        <w:t>、规划效果</w:t>
      </w:r>
    </w:p>
    <w:p>
      <w:pPr>
        <w:topLinePunct/>
        <w:spacing w:line="360" w:lineRule="auto"/>
        <w:ind w:firstLine="480" w:firstLineChars="200"/>
        <w:rPr>
          <w:rFonts w:cs="Times New Roman"/>
        </w:rPr>
      </w:pPr>
      <w:r>
        <w:rPr>
          <w:rFonts w:hint="eastAsia" w:cs="Times New Roman"/>
        </w:rPr>
        <w:t>（</w:t>
      </w:r>
      <w:r>
        <w:rPr>
          <w:rFonts w:cs="Times New Roman"/>
        </w:rPr>
        <w:t>1</w:t>
      </w:r>
      <w:r>
        <w:rPr>
          <w:rFonts w:hint="eastAsia" w:cs="Times New Roman"/>
        </w:rPr>
        <w:t>）室外覆盖网络规划效果</w:t>
      </w:r>
    </w:p>
    <w:p>
      <w:pPr>
        <w:topLinePunct/>
        <w:spacing w:line="360" w:lineRule="auto"/>
        <w:ind w:firstLine="480" w:firstLineChars="200"/>
        <w:rPr>
          <w:rFonts w:cs="Times New Roman"/>
        </w:rPr>
      </w:pPr>
      <w:r>
        <w:rPr>
          <w:rFonts w:hint="eastAsia" w:cs="Times New Roman"/>
        </w:rPr>
        <w:t>结合梁平区城乡总体规划，优先规划梁平区城市街道站址，保证梁平区城市道路连续覆盖、室外</w:t>
      </w:r>
      <w:r>
        <w:rPr>
          <w:rFonts w:cs="Times New Roman"/>
        </w:rPr>
        <w:t>5G</w:t>
      </w:r>
      <w:r>
        <w:rPr>
          <w:rFonts w:hint="eastAsia" w:cs="Times New Roman"/>
        </w:rPr>
        <w:t>覆盖达到标准值，完成梁平区</w:t>
      </w:r>
      <w:r>
        <w:rPr>
          <w:rFonts w:cs="Times New Roman"/>
        </w:rPr>
        <w:t>5G</w:t>
      </w:r>
      <w:r>
        <w:rPr>
          <w:rFonts w:hint="eastAsia" w:cs="Times New Roman"/>
        </w:rPr>
        <w:t>点、线、面覆盖。在原有站址进行改造的基础上，利旧或改造现有室外路灯杆，采用“黑白棋”方式建设。建设单位应积极与政府相关单位通力合作，将</w:t>
      </w:r>
      <w:r>
        <w:rPr>
          <w:rFonts w:cs="Times New Roman"/>
        </w:rPr>
        <w:t>5G</w:t>
      </w:r>
      <w:r>
        <w:rPr>
          <w:rFonts w:hint="eastAsia" w:cs="Times New Roman"/>
        </w:rPr>
        <w:t>建设与城市智慧灯杆改造项目相融合，做到多杆合一。</w:t>
      </w:r>
    </w:p>
    <w:p>
      <w:pPr>
        <w:topLinePunct/>
        <w:spacing w:line="360" w:lineRule="auto"/>
        <w:ind w:firstLine="480" w:firstLineChars="200"/>
        <w:rPr>
          <w:rFonts w:cs="Times New Roman"/>
        </w:rPr>
      </w:pPr>
      <w:r>
        <w:rPr>
          <w:rFonts w:hint="eastAsia" w:cs="Times New Roman"/>
        </w:rPr>
        <w:t>本次规划基站落地方式应结合梁平区现有街道路灯杆风格，根据塔桅检测单位核实灯杆承载能力，利旧或改造现有路灯杆。</w:t>
      </w:r>
    </w:p>
    <w:p>
      <w:pPr>
        <w:topLinePunct/>
        <w:spacing w:line="360" w:lineRule="auto"/>
        <w:ind w:firstLine="480" w:firstLineChars="200"/>
        <w:rPr>
          <w:rFonts w:cs="Times New Roman"/>
        </w:rPr>
      </w:pPr>
      <w:r>
        <w:rPr>
          <w:rFonts w:hint="eastAsia" w:cs="Times New Roman"/>
        </w:rPr>
        <w:t>（</w:t>
      </w:r>
      <w:r>
        <w:rPr>
          <w:rFonts w:cs="Times New Roman"/>
        </w:rPr>
        <w:t>2</w:t>
      </w:r>
      <w:r>
        <w:rPr>
          <w:rFonts w:hint="eastAsia" w:cs="Times New Roman"/>
        </w:rPr>
        <w:t>）室内分布及综合覆盖规划效果</w:t>
      </w:r>
    </w:p>
    <w:p>
      <w:pPr>
        <w:topLinePunct/>
        <w:spacing w:line="360" w:lineRule="auto"/>
        <w:ind w:firstLine="480" w:firstLineChars="200"/>
        <w:rPr>
          <w:rFonts w:cs="Times New Roman"/>
        </w:rPr>
      </w:pPr>
      <w:r>
        <w:rPr>
          <w:rFonts w:cs="Times New Roman"/>
        </w:rPr>
        <w:t>3.5G</w:t>
      </w:r>
      <w:r>
        <w:rPr>
          <w:rFonts w:hint="eastAsia" w:cs="Times New Roman"/>
        </w:rPr>
        <w:t>频段为运营商前期部署</w:t>
      </w:r>
      <w:r>
        <w:rPr>
          <w:rFonts w:cs="Times New Roman"/>
        </w:rPr>
        <w:t>5G</w:t>
      </w:r>
      <w:r>
        <w:rPr>
          <w:rFonts w:hint="eastAsia" w:cs="Times New Roman"/>
        </w:rPr>
        <w:t>的主要频段，该频段穿透能力差，室外信号进入室内严重衰减，</w:t>
      </w:r>
      <w:r>
        <w:rPr>
          <w:rFonts w:cs="Times New Roman"/>
        </w:rPr>
        <w:t>5G</w:t>
      </w:r>
      <w:r>
        <w:rPr>
          <w:rFonts w:hint="eastAsia" w:cs="Times New Roman"/>
        </w:rPr>
        <w:t>通信业务大部分发生在室内，需要室内分布及综合覆盖系统解决室内、地下车库、覆盖盲点，解决梁平区点覆盖问题。</w:t>
      </w:r>
    </w:p>
    <w:p>
      <w:pPr>
        <w:topLinePunct/>
        <w:spacing w:line="360" w:lineRule="auto"/>
        <w:ind w:firstLine="480" w:firstLineChars="200"/>
        <w:rPr>
          <w:rFonts w:cs="Times New Roman"/>
        </w:rPr>
      </w:pPr>
      <w:r>
        <w:rPr>
          <w:rFonts w:hint="eastAsia" w:cs="Times New Roman"/>
        </w:rPr>
        <w:t>室内分布及综合覆盖系统定义为室外宏站、室内分布系统、小区内采用的美化灯杆及楼面射灯天线或其他美化天线的集成系统。</w:t>
      </w:r>
    </w:p>
    <w:p>
      <w:pPr>
        <w:topLinePunct/>
        <w:spacing w:line="360" w:lineRule="auto"/>
        <w:ind w:firstLine="480" w:firstLineChars="200"/>
        <w:rPr>
          <w:rFonts w:cs="Times New Roman"/>
        </w:rPr>
      </w:pPr>
      <w:r>
        <w:rPr>
          <w:rFonts w:hint="eastAsia" w:cs="Times New Roman"/>
        </w:rPr>
        <w:t>每个小区或商业楼宇存在的问题不尽相同，建议采用“一例一案”方式建设。在考虑与周边环境相融合的前提下，做到</w:t>
      </w:r>
      <w:r>
        <w:rPr>
          <w:rFonts w:cs="Times New Roman"/>
        </w:rPr>
        <w:t>5G</w:t>
      </w:r>
      <w:r>
        <w:rPr>
          <w:rFonts w:hint="eastAsia" w:cs="Times New Roman"/>
        </w:rPr>
        <w:t>信号深度覆盖。</w:t>
      </w:r>
    </w:p>
    <w:p>
      <w:pPr>
        <w:topLinePunct/>
        <w:spacing w:line="360" w:lineRule="auto"/>
        <w:ind w:firstLine="480" w:firstLineChars="200"/>
        <w:rPr>
          <w:rFonts w:cs="Times New Roman"/>
        </w:rPr>
      </w:pPr>
      <w:r>
        <w:pict>
          <v:shape id="_x0000_s1041" o:spid="_x0000_s1041" o:spt="3" type="#_x0000_t3" style="position:absolute;left:0pt;margin-left:183.6pt;margin-top:72.8pt;height:127.5pt;width:155.25pt;z-index:251661312;v-text-anchor:middle;mso-width-relative:page;mso-height-relative:page;" filled="f" stroked="t" coordsize="21600,21600" o:gfxdata="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8bQCzYAAAACwEAAA8AAAAAAAAAAQAgAAAAIgAAAGRycy9kb3ducmV2Lnht&#10;bFBLAQIUABQAAAAIAIdO4kAPUeyFawIAAMMEAAAOAAAAAAAAAAEAIAAAACcBAABkcnMvZTJvRG9j&#10;LnhtbFBLBQYAAAAABgAGAFkBAAAEBgAAAAA=&#10;">
            <v:path/>
            <v:fill on="f" focussize="0,0"/>
            <v:stroke weight="2pt" color="#FF0000"/>
            <v:imagedata o:title=""/>
            <o:lock v:ext="edit"/>
            <v:textbox>
              <w:txbxContent>
                <w:p>
                  <w:pPr>
                    <w:jc w:val="center"/>
                  </w:pPr>
                </w:p>
              </w:txbxContent>
            </v:textbox>
          </v:shape>
        </w:pict>
      </w:r>
      <w:r>
        <w:rPr>
          <w:rFonts w:cs="Times New Roman"/>
        </w:rPr>
        <w:t xml:space="preserve"> </w:t>
      </w:r>
      <w:r>
        <w:rPr>
          <w:rFonts w:eastAsia="方正仿宋_GBK" w:cs="Times New Roman"/>
          <w:sz w:val="32"/>
          <w:szCs w:val="32"/>
        </w:rPr>
        <w:pict>
          <v:shape id="_x0000_i1026" o:spt="75" type="#_x0000_t75" style="height:250.5pt;width:420pt;" filled="f" o:preferrelative="t" stroked="f" coordsize="21600,21600">
            <v:path/>
            <v:fill on="f" focussize="0,0"/>
            <v:stroke on="f" joinstyle="miter"/>
            <v:imagedata r:id="rId17" o:title=""/>
            <o:lock v:ext="edit" aspectratio="t"/>
            <w10:wrap type="none"/>
            <w10:anchorlock/>
          </v:shape>
        </w:pict>
      </w:r>
    </w:p>
    <w:p>
      <w:pPr>
        <w:pStyle w:val="8"/>
        <w:spacing w:before="65" w:after="65"/>
      </w:pPr>
      <w:r>
        <w:rPr>
          <w:rFonts w:hint="eastAsia"/>
        </w:rPr>
        <w:t>图</w:t>
      </w:r>
      <w:r>
        <w:t xml:space="preserve">4-1 </w:t>
      </w:r>
      <w:bookmarkStart w:id="63" w:name="_Hlk40567627"/>
      <w:r>
        <w:rPr>
          <w:rFonts w:hint="eastAsia"/>
        </w:rPr>
        <w:t>室内分布及综合覆盖</w:t>
      </w:r>
      <w:bookmarkEnd w:id="63"/>
      <w:r>
        <w:rPr>
          <w:rFonts w:hint="eastAsia"/>
        </w:rPr>
        <w:t>系统示例图</w:t>
      </w:r>
    </w:p>
    <w:p>
      <w:pPr>
        <w:pStyle w:val="3"/>
        <w:rPr>
          <w:b/>
        </w:rPr>
      </w:pPr>
      <w:bookmarkStart w:id="64" w:name="_Toc56092710"/>
      <w:bookmarkStart w:id="65" w:name="_Toc55386017"/>
      <w:r>
        <w:t>5G</w:t>
      </w:r>
      <w:r>
        <w:rPr>
          <w:rFonts w:hint="eastAsia"/>
        </w:rPr>
        <w:t>通信综合接入机房规划</w:t>
      </w:r>
      <w:bookmarkEnd w:id="64"/>
      <w:bookmarkEnd w:id="65"/>
    </w:p>
    <w:p>
      <w:pPr>
        <w:spacing w:line="360" w:lineRule="auto"/>
        <w:ind w:firstLine="480" w:firstLineChars="200"/>
        <w:jc w:val="both"/>
        <w:rPr>
          <w:rFonts w:cs="Times New Roman"/>
          <w:kern w:val="2"/>
        </w:rPr>
      </w:pPr>
      <w:r>
        <w:rPr>
          <w:rFonts w:cs="Times New Roman"/>
          <w:kern w:val="2"/>
        </w:rPr>
        <w:t>1</w:t>
      </w:r>
      <w:r>
        <w:rPr>
          <w:rFonts w:hint="eastAsia" w:cs="Times New Roman"/>
          <w:kern w:val="2"/>
        </w:rPr>
        <w:t>．</w:t>
      </w:r>
      <w:r>
        <w:rPr>
          <w:rFonts w:cs="Times New Roman"/>
          <w:kern w:val="2"/>
        </w:rPr>
        <w:t>5G</w:t>
      </w:r>
      <w:r>
        <w:rPr>
          <w:rFonts w:hint="eastAsia" w:cs="Times New Roman"/>
          <w:kern w:val="2"/>
        </w:rPr>
        <w:t>综合接入机房规划要求</w:t>
      </w:r>
    </w:p>
    <w:p>
      <w:pPr>
        <w:spacing w:line="360" w:lineRule="auto"/>
        <w:ind w:firstLine="480" w:firstLineChars="200"/>
        <w:jc w:val="both"/>
        <w:rPr>
          <w:rFonts w:cs="Times New Roman"/>
          <w:kern w:val="2"/>
        </w:rPr>
      </w:pPr>
      <w:r>
        <w:rPr>
          <w:rFonts w:hint="eastAsia" w:cs="Times New Roman"/>
          <w:kern w:val="2"/>
        </w:rPr>
        <w:t>（</w:t>
      </w:r>
      <w:r>
        <w:rPr>
          <w:rFonts w:cs="Times New Roman"/>
          <w:kern w:val="2"/>
        </w:rPr>
        <w:t>1</w:t>
      </w:r>
      <w:r>
        <w:rPr>
          <w:rFonts w:hint="eastAsia" w:cs="Times New Roman"/>
          <w:kern w:val="2"/>
        </w:rPr>
        <w:t>）新建</w:t>
      </w:r>
      <w:r>
        <w:rPr>
          <w:rFonts w:cs="Times New Roman"/>
          <w:kern w:val="2"/>
        </w:rPr>
        <w:t>5G</w:t>
      </w:r>
      <w:r>
        <w:rPr>
          <w:rFonts w:hint="eastAsia" w:cs="Times New Roman"/>
          <w:kern w:val="2"/>
        </w:rPr>
        <w:t>通信接入机房由电信企业单位自购、自建或租赁。</w:t>
      </w:r>
    </w:p>
    <w:p>
      <w:pPr>
        <w:spacing w:line="360" w:lineRule="auto"/>
        <w:ind w:firstLine="480" w:firstLineChars="200"/>
        <w:jc w:val="both"/>
        <w:rPr>
          <w:rFonts w:cs="Times New Roman"/>
          <w:kern w:val="2"/>
        </w:rPr>
      </w:pPr>
      <w:r>
        <w:rPr>
          <w:rFonts w:hint="eastAsia" w:cs="Times New Roman"/>
          <w:kern w:val="2"/>
        </w:rPr>
        <w:t>（</w:t>
      </w:r>
      <w:r>
        <w:rPr>
          <w:rFonts w:cs="Times New Roman"/>
          <w:kern w:val="2"/>
        </w:rPr>
        <w:t>2</w:t>
      </w:r>
      <w:r>
        <w:rPr>
          <w:rFonts w:hint="eastAsia" w:cs="Times New Roman"/>
          <w:kern w:val="2"/>
        </w:rPr>
        <w:t>）新建</w:t>
      </w:r>
      <w:r>
        <w:rPr>
          <w:rFonts w:cs="Times New Roman"/>
          <w:kern w:val="2"/>
        </w:rPr>
        <w:t>5G</w:t>
      </w:r>
      <w:r>
        <w:rPr>
          <w:rFonts w:hint="eastAsia" w:cs="Times New Roman"/>
          <w:kern w:val="2"/>
        </w:rPr>
        <w:t>通信接入机房须满足建筑层高、承重、抗震、防洪、耐火、市电引入、油机发电、光缆通道、维护通道和消防通道等相关标准。</w:t>
      </w:r>
    </w:p>
    <w:p>
      <w:pPr>
        <w:spacing w:line="360" w:lineRule="auto"/>
        <w:ind w:firstLine="480" w:firstLineChars="200"/>
        <w:jc w:val="both"/>
        <w:rPr>
          <w:rFonts w:cs="Times New Roman"/>
          <w:kern w:val="2"/>
        </w:rPr>
      </w:pPr>
      <w:r>
        <w:rPr>
          <w:rFonts w:hint="eastAsia" w:cs="Times New Roman"/>
          <w:kern w:val="2"/>
        </w:rPr>
        <w:t>（</w:t>
      </w:r>
      <w:r>
        <w:rPr>
          <w:rFonts w:cs="Times New Roman"/>
          <w:kern w:val="2"/>
        </w:rPr>
        <w:t>3</w:t>
      </w:r>
      <w:r>
        <w:rPr>
          <w:rFonts w:hint="eastAsia" w:cs="Times New Roman"/>
          <w:kern w:val="2"/>
        </w:rPr>
        <w:t>）新建</w:t>
      </w:r>
      <w:r>
        <w:rPr>
          <w:rFonts w:cs="Times New Roman"/>
          <w:kern w:val="2"/>
        </w:rPr>
        <w:t>5G</w:t>
      </w:r>
      <w:r>
        <w:rPr>
          <w:rFonts w:hint="eastAsia" w:cs="Times New Roman"/>
          <w:kern w:val="2"/>
        </w:rPr>
        <w:t>通信接入机房至少需引入一路</w:t>
      </w:r>
      <w:r>
        <w:rPr>
          <w:rFonts w:cs="Times New Roman"/>
          <w:kern w:val="2"/>
        </w:rPr>
        <w:t>380V</w:t>
      </w:r>
      <w:r>
        <w:rPr>
          <w:rFonts w:hint="eastAsia" w:cs="Times New Roman"/>
          <w:kern w:val="2"/>
        </w:rPr>
        <w:t>市电，容量不低于</w:t>
      </w:r>
      <w:r>
        <w:rPr>
          <w:rFonts w:cs="Times New Roman"/>
          <w:kern w:val="2"/>
        </w:rPr>
        <w:t>30KVA</w:t>
      </w:r>
      <w:r>
        <w:rPr>
          <w:rFonts w:hint="eastAsia" w:cs="Times New Roman"/>
          <w:kern w:val="2"/>
        </w:rPr>
        <w:t>。</w:t>
      </w:r>
    </w:p>
    <w:p>
      <w:pPr>
        <w:spacing w:line="360" w:lineRule="auto"/>
        <w:ind w:firstLine="480" w:firstLineChars="200"/>
        <w:jc w:val="both"/>
        <w:rPr>
          <w:rFonts w:cs="Times New Roman"/>
          <w:kern w:val="2"/>
        </w:rPr>
      </w:pPr>
      <w:r>
        <w:rPr>
          <w:rFonts w:hint="eastAsia" w:cs="Times New Roman"/>
          <w:kern w:val="2"/>
        </w:rPr>
        <w:t>（</w:t>
      </w:r>
      <w:r>
        <w:rPr>
          <w:rFonts w:cs="Times New Roman"/>
          <w:kern w:val="2"/>
        </w:rPr>
        <w:t>4</w:t>
      </w:r>
      <w:r>
        <w:rPr>
          <w:rFonts w:hint="eastAsia" w:cs="Times New Roman"/>
          <w:kern w:val="2"/>
        </w:rPr>
        <w:t>）新建</w:t>
      </w:r>
      <w:r>
        <w:rPr>
          <w:rFonts w:cs="Times New Roman"/>
          <w:kern w:val="2"/>
        </w:rPr>
        <w:t>5G</w:t>
      </w:r>
      <w:r>
        <w:rPr>
          <w:rFonts w:hint="eastAsia" w:cs="Times New Roman"/>
          <w:kern w:val="2"/>
        </w:rPr>
        <w:t>通信接入机房线缆引入应具备</w:t>
      </w:r>
      <w:r>
        <w:rPr>
          <w:rFonts w:cs="Times New Roman"/>
          <w:kern w:val="2"/>
        </w:rPr>
        <w:t>2</w:t>
      </w:r>
      <w:r>
        <w:rPr>
          <w:rFonts w:hint="eastAsia" w:cs="Times New Roman"/>
          <w:kern w:val="2"/>
        </w:rPr>
        <w:t>路以上的通信路由。</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w:t>
      </w:r>
      <w:r>
        <w:rPr>
          <w:rFonts w:cs="Times New Roman"/>
          <w:kern w:val="2"/>
        </w:rPr>
        <w:t>5G</w:t>
      </w:r>
      <w:r>
        <w:rPr>
          <w:rFonts w:hint="eastAsia" w:cs="Times New Roman"/>
          <w:kern w:val="2"/>
        </w:rPr>
        <w:t>综合接入机房规划结果</w:t>
      </w:r>
    </w:p>
    <w:p>
      <w:pPr>
        <w:spacing w:line="360" w:lineRule="auto"/>
        <w:ind w:firstLine="480" w:firstLineChars="200"/>
        <w:jc w:val="both"/>
        <w:rPr>
          <w:rFonts w:cs="Times New Roman"/>
          <w:kern w:val="2"/>
        </w:rPr>
      </w:pPr>
      <w:r>
        <w:rPr>
          <w:rFonts w:hint="eastAsia" w:cs="Times New Roman"/>
          <w:kern w:val="2"/>
        </w:rPr>
        <w:t>综合业务接入机房为综合业务接入区内小范围业务收敛设备所在机房，包括集中设置</w:t>
      </w:r>
      <w:r>
        <w:rPr>
          <w:rFonts w:cs="Times New Roman"/>
          <w:kern w:val="2"/>
        </w:rPr>
        <w:t>BBU</w:t>
      </w:r>
      <w:r>
        <w:rPr>
          <w:rFonts w:hint="eastAsia" w:cs="Times New Roman"/>
          <w:kern w:val="2"/>
        </w:rPr>
        <w:t>、</w:t>
      </w:r>
      <w:r>
        <w:rPr>
          <w:rFonts w:cs="Times New Roman"/>
          <w:kern w:val="2"/>
        </w:rPr>
        <w:t>OLT</w:t>
      </w:r>
      <w:r>
        <w:rPr>
          <w:rFonts w:hint="eastAsia" w:cs="Times New Roman"/>
          <w:kern w:val="2"/>
        </w:rPr>
        <w:t>、传输二级汇聚等设备，是区域内传输汇聚节点的延伸，也是汇聚节点和末端接入点之间的衔接节点。</w:t>
      </w:r>
    </w:p>
    <w:p>
      <w:pPr>
        <w:spacing w:line="360" w:lineRule="auto"/>
        <w:ind w:firstLine="480" w:firstLineChars="200"/>
        <w:jc w:val="both"/>
        <w:rPr>
          <w:rFonts w:cs="Times New Roman"/>
          <w:kern w:val="2"/>
        </w:rPr>
      </w:pPr>
      <w:r>
        <w:rPr>
          <w:rFonts w:hint="eastAsia" w:cs="Times New Roman"/>
          <w:kern w:val="2"/>
        </w:rPr>
        <w:t>规划</w:t>
      </w:r>
      <w:r>
        <w:rPr>
          <w:rFonts w:cs="Times New Roman"/>
          <w:kern w:val="2"/>
        </w:rPr>
        <w:t>5G</w:t>
      </w:r>
      <w:r>
        <w:rPr>
          <w:rFonts w:hint="eastAsia" w:cs="Times New Roman"/>
          <w:kern w:val="2"/>
        </w:rPr>
        <w:t>综合接入机房</w:t>
      </w:r>
      <w:r>
        <w:rPr>
          <w:rFonts w:cs="Times New Roman"/>
          <w:kern w:val="2"/>
        </w:rPr>
        <w:t>65</w:t>
      </w:r>
      <w:r>
        <w:rPr>
          <w:rFonts w:hint="eastAsia" w:cs="Times New Roman"/>
          <w:kern w:val="2"/>
        </w:rPr>
        <w:t>个，其中新建</w:t>
      </w:r>
      <w:r>
        <w:rPr>
          <w:rFonts w:cs="Times New Roman"/>
          <w:kern w:val="2"/>
        </w:rPr>
        <w:t>46</w:t>
      </w:r>
      <w:r>
        <w:rPr>
          <w:rFonts w:hint="eastAsia" w:cs="Times New Roman"/>
          <w:kern w:val="2"/>
        </w:rPr>
        <w:t>个，改造</w:t>
      </w:r>
      <w:r>
        <w:rPr>
          <w:rFonts w:cs="Times New Roman"/>
          <w:kern w:val="2"/>
        </w:rPr>
        <w:t>19</w:t>
      </w:r>
      <w:r>
        <w:rPr>
          <w:rFonts w:hint="eastAsia" w:cs="Times New Roman"/>
          <w:kern w:val="2"/>
        </w:rPr>
        <w:t>个。详见规划附表。</w:t>
      </w:r>
    </w:p>
    <w:p>
      <w:pPr>
        <w:spacing w:line="360" w:lineRule="auto"/>
        <w:ind w:firstLine="480" w:firstLineChars="200"/>
        <w:jc w:val="both"/>
        <w:rPr>
          <w:rFonts w:cs="Times New Roman"/>
          <w:kern w:val="2"/>
        </w:rPr>
      </w:pPr>
      <w:r>
        <w:rPr>
          <w:rFonts w:hint="eastAsia" w:cs="Times New Roman"/>
          <w:kern w:val="2"/>
        </w:rPr>
        <w:t>为使</w:t>
      </w:r>
      <w:r>
        <w:rPr>
          <w:rFonts w:cs="Times New Roman"/>
          <w:kern w:val="2"/>
        </w:rPr>
        <w:t>5G</w:t>
      </w:r>
      <w:r>
        <w:rPr>
          <w:rFonts w:hint="eastAsia" w:cs="Times New Roman"/>
          <w:kern w:val="2"/>
        </w:rPr>
        <w:t>综合接入机房建设不影响周边景观，本次规划建议采用小型美化智慧拼装机房。</w:t>
      </w:r>
    </w:p>
    <w:p>
      <w:pPr>
        <w:spacing w:line="360" w:lineRule="auto"/>
        <w:ind w:left="424" w:leftChars="177"/>
        <w:jc w:val="both"/>
        <w:rPr>
          <w:rFonts w:cs="Times New Roman"/>
          <w:kern w:val="2"/>
        </w:rPr>
      </w:pPr>
      <w:r>
        <w:pict>
          <v:shape id="_x0000_i1027" o:spt="75" type="#_x0000_t75" style="height:164.25pt;width:430.5pt;" filled="f" o:preferrelative="t" stroked="f" coordsize="21600,21600">
            <v:path/>
            <v:fill on="f" focussize="0,0"/>
            <v:stroke on="f" joinstyle="miter"/>
            <v:imagedata r:id="rId18" o:title=""/>
            <o:lock v:ext="edit" aspectratio="t"/>
            <w10:wrap type="none"/>
            <w10:anchorlock/>
          </v:shape>
        </w:pict>
      </w:r>
      <w:r>
        <w:pict>
          <v:shape id="_x0000_i1028" o:spt="75" type="#_x0000_t75" style="height:166.5pt;width:432pt;" filled="f" o:preferrelative="t" stroked="f" coordsize="21600,21600">
            <v:path/>
            <v:fill on="f" focussize="0,0"/>
            <v:stroke on="f" joinstyle="miter"/>
            <v:imagedata r:id="rId19" o:title=""/>
            <o:lock v:ext="edit" aspectratio="t"/>
            <w10:wrap type="none"/>
            <w10:anchorlock/>
          </v:shape>
        </w:pict>
      </w:r>
    </w:p>
    <w:p>
      <w:pPr>
        <w:pStyle w:val="8"/>
        <w:spacing w:before="65" w:after="65"/>
      </w:pPr>
      <w:r>
        <w:rPr>
          <w:rFonts w:hint="eastAsia"/>
        </w:rPr>
        <w:t>图</w:t>
      </w:r>
      <w:r>
        <w:t>4.2</w:t>
      </w:r>
      <w:r>
        <w:rPr>
          <w:rFonts w:hint="eastAsia"/>
        </w:rPr>
        <w:t>美化智慧拼装</w:t>
      </w:r>
      <w:r>
        <w:t>5G</w:t>
      </w:r>
      <w:r>
        <w:rPr>
          <w:rFonts w:hint="eastAsia"/>
        </w:rPr>
        <w:t>综合接入机房示例图</w:t>
      </w:r>
      <w:r>
        <w:br w:type="page"/>
      </w:r>
    </w:p>
    <w:p>
      <w:pPr>
        <w:pStyle w:val="2"/>
      </w:pPr>
      <w:bookmarkStart w:id="66" w:name="_Toc56092711"/>
      <w:bookmarkStart w:id="67" w:name="_Toc523817016"/>
      <w:bookmarkStart w:id="68" w:name="_Toc55386018"/>
      <w:r>
        <w:t>5G</w:t>
      </w:r>
      <w:r>
        <w:rPr>
          <w:rFonts w:hint="eastAsia"/>
        </w:rPr>
        <w:t>通信基础设施规划实施</w:t>
      </w:r>
      <w:bookmarkEnd w:id="66"/>
      <w:bookmarkEnd w:id="67"/>
      <w:bookmarkEnd w:id="68"/>
    </w:p>
    <w:p>
      <w:pPr>
        <w:pStyle w:val="3"/>
        <w:numPr>
          <w:ilvl w:val="0"/>
          <w:numId w:val="22"/>
        </w:numPr>
      </w:pPr>
      <w:bookmarkStart w:id="69" w:name="_Toc55386019"/>
      <w:bookmarkStart w:id="70" w:name="_Toc56092712"/>
      <w:r>
        <w:rPr>
          <w:rFonts w:hint="eastAsia"/>
        </w:rPr>
        <w:t>规划修改方式</w:t>
      </w:r>
      <w:bookmarkEnd w:id="69"/>
      <w:bookmarkEnd w:id="70"/>
    </w:p>
    <w:p>
      <w:pPr>
        <w:spacing w:line="360" w:lineRule="auto"/>
        <w:ind w:firstLine="480" w:firstLineChars="200"/>
        <w:jc w:val="both"/>
        <w:rPr>
          <w:rFonts w:cs="Times New Roman"/>
          <w:kern w:val="2"/>
        </w:rPr>
      </w:pPr>
      <w:r>
        <w:rPr>
          <w:rFonts w:hint="eastAsia" w:cs="Times New Roman"/>
          <w:kern w:val="2"/>
        </w:rPr>
        <w:t>在布点选址的同时，应将通信设施纳入控制性详细规划，同步进行相关区域内控制性详细规划修改，并进行统一管理，指导后续通信设施建设工作。结合梁平区城市控制性详细规划，本次</w:t>
      </w:r>
      <w:r>
        <w:rPr>
          <w:rFonts w:cs="Times New Roman"/>
          <w:kern w:val="2"/>
        </w:rPr>
        <w:t>5G</w:t>
      </w:r>
      <w:r>
        <w:rPr>
          <w:rFonts w:hint="eastAsia" w:cs="Times New Roman"/>
          <w:kern w:val="2"/>
        </w:rPr>
        <w:t>通信设施规划修改按已批控规区域与在编控规区域分别落实。</w:t>
      </w:r>
    </w:p>
    <w:p>
      <w:pPr>
        <w:spacing w:line="360" w:lineRule="auto"/>
        <w:ind w:firstLine="480" w:firstLineChars="200"/>
        <w:jc w:val="both"/>
        <w:rPr>
          <w:rFonts w:cs="Times New Roman"/>
          <w:kern w:val="2"/>
        </w:rPr>
      </w:pPr>
      <w:r>
        <w:rPr>
          <w:rFonts w:cs="Times New Roman"/>
          <w:kern w:val="2"/>
        </w:rPr>
        <w:t>1.</w:t>
      </w:r>
      <w:r>
        <w:rPr>
          <w:rFonts w:hint="eastAsia" w:cs="Times New Roman"/>
          <w:kern w:val="2"/>
        </w:rPr>
        <w:t>已批控规区域：根据通信设施选址和土地利用规划的控制要求，规定规划修改范围，结合选址地块和周边相关地块，对相应地块的用地性质及控制要求进行规划修改。</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在编控规区域：将通信设施选址和控制要求，纳入在编控规。</w:t>
      </w:r>
    </w:p>
    <w:p>
      <w:pPr>
        <w:pStyle w:val="3"/>
      </w:pPr>
      <w:bookmarkStart w:id="71" w:name="_Toc55386020"/>
      <w:bookmarkStart w:id="72" w:name="_Toc56092713"/>
      <w:r>
        <w:rPr>
          <w:rFonts w:hint="eastAsia"/>
        </w:rPr>
        <w:t>不独立占地通信设施规划修改</w:t>
      </w:r>
      <w:bookmarkEnd w:id="71"/>
      <w:bookmarkEnd w:id="72"/>
    </w:p>
    <w:p>
      <w:pPr>
        <w:spacing w:line="360" w:lineRule="auto"/>
        <w:ind w:firstLine="480" w:firstLineChars="200"/>
        <w:jc w:val="both"/>
        <w:rPr>
          <w:rFonts w:cs="Times New Roman"/>
          <w:kern w:val="2"/>
        </w:rPr>
      </w:pPr>
      <w:r>
        <w:rPr>
          <w:rFonts w:hint="eastAsia" w:cs="Times New Roman"/>
          <w:kern w:val="2"/>
        </w:rPr>
        <w:t>结合规划地块配套设施规划的通信局所、基站等设施，在规划中明确通信设施的设置标准，并增加相应控制要求。</w:t>
      </w:r>
    </w:p>
    <w:p>
      <w:pPr>
        <w:pStyle w:val="3"/>
      </w:pPr>
      <w:bookmarkStart w:id="73" w:name="_Toc55386021"/>
      <w:bookmarkStart w:id="74" w:name="_Toc56092714"/>
      <w:r>
        <w:rPr>
          <w:rFonts w:hint="eastAsia"/>
        </w:rPr>
        <w:t>独立占地设施规划修改</w:t>
      </w:r>
      <w:bookmarkEnd w:id="73"/>
      <w:bookmarkEnd w:id="74"/>
    </w:p>
    <w:p>
      <w:pPr>
        <w:spacing w:line="360" w:lineRule="auto"/>
        <w:ind w:firstLine="480" w:firstLineChars="200"/>
        <w:jc w:val="both"/>
        <w:rPr>
          <w:rFonts w:cs="Times New Roman"/>
          <w:kern w:val="2"/>
        </w:rPr>
      </w:pPr>
      <w:r>
        <w:rPr>
          <w:rFonts w:hint="eastAsia" w:cs="Times New Roman"/>
          <w:kern w:val="2"/>
        </w:rPr>
        <w:t>根据布点选址对需要独立占地的通信机房所地块进行修改，调整原有相应控规地块为通信用地，并独立编号。</w:t>
      </w:r>
    </w:p>
    <w:p>
      <w:pPr>
        <w:pStyle w:val="3"/>
      </w:pPr>
      <w:bookmarkStart w:id="75" w:name="_Toc56092715"/>
      <w:bookmarkStart w:id="76" w:name="_Toc55386022"/>
      <w:r>
        <w:rPr>
          <w:rFonts w:hint="eastAsia"/>
        </w:rPr>
        <w:t>应急通信</w:t>
      </w:r>
      <w:bookmarkEnd w:id="75"/>
      <w:bookmarkEnd w:id="76"/>
    </w:p>
    <w:p>
      <w:pPr>
        <w:spacing w:line="360" w:lineRule="auto"/>
        <w:ind w:firstLine="480" w:firstLineChars="200"/>
        <w:jc w:val="both"/>
        <w:rPr>
          <w:rFonts w:cs="Times New Roman"/>
          <w:kern w:val="2"/>
        </w:rPr>
      </w:pPr>
      <w:r>
        <w:rPr>
          <w:rFonts w:cs="Times New Roman"/>
          <w:kern w:val="2"/>
        </w:rPr>
        <w:t>1.</w:t>
      </w:r>
      <w:r>
        <w:rPr>
          <w:rFonts w:hint="eastAsia" w:cs="Times New Roman"/>
          <w:kern w:val="2"/>
        </w:rPr>
        <w:t>政府相关部门应建立针对灾害预警及重大活动的信息共享平台。</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强化通信网应急指挥调度系统的预警监测功能，密切关注并及时汇总、通报、共享有关信息。基础电信运营企业要建立和完善网络预警监测机制及应急通信保障队伍，加强电信网络运行监测以及应急通信保障演练。</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相关部门应配备应急通信车、便携卫星站、海事卫星终端和便携油机等设备。</w:t>
      </w:r>
    </w:p>
    <w:p>
      <w:pPr>
        <w:pStyle w:val="3"/>
      </w:pPr>
      <w:bookmarkStart w:id="77" w:name="_Toc55386023"/>
      <w:bookmarkStart w:id="78" w:name="_Toc56092716"/>
      <w:r>
        <w:rPr>
          <w:rFonts w:hint="eastAsia"/>
        </w:rPr>
        <w:t>规划保障</w:t>
      </w:r>
      <w:bookmarkEnd w:id="77"/>
      <w:bookmarkEnd w:id="78"/>
    </w:p>
    <w:p>
      <w:pPr>
        <w:spacing w:line="360" w:lineRule="auto"/>
        <w:ind w:firstLine="480" w:firstLineChars="200"/>
        <w:jc w:val="both"/>
        <w:rPr>
          <w:rFonts w:cs="Times New Roman"/>
          <w:kern w:val="2"/>
        </w:rPr>
      </w:pPr>
      <w:r>
        <w:rPr>
          <w:rFonts w:cs="Times New Roman"/>
          <w:kern w:val="2"/>
        </w:rPr>
        <w:t>1.</w:t>
      </w:r>
      <w:r>
        <w:rPr>
          <w:rFonts w:hint="eastAsia" w:cs="Times New Roman"/>
          <w:kern w:val="2"/>
        </w:rPr>
        <w:t>凡在规划区域内进行与</w:t>
      </w:r>
      <w:r>
        <w:rPr>
          <w:rFonts w:cs="Times New Roman"/>
          <w:kern w:val="2"/>
        </w:rPr>
        <w:t>5G</w:t>
      </w:r>
      <w:r>
        <w:rPr>
          <w:rFonts w:hint="eastAsia" w:cs="Times New Roman"/>
          <w:kern w:val="2"/>
        </w:rPr>
        <w:t>通信设施有关的各项建设管理工作，均应执行本规划。</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在改造区域，应积极结合项目进程，推进</w:t>
      </w:r>
      <w:r>
        <w:rPr>
          <w:rFonts w:cs="Times New Roman"/>
          <w:kern w:val="2"/>
        </w:rPr>
        <w:t>5G</w:t>
      </w:r>
      <w:r>
        <w:rPr>
          <w:rFonts w:hint="eastAsia" w:cs="Times New Roman"/>
          <w:kern w:val="2"/>
        </w:rPr>
        <w:t>通信设施建设。</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各基础通信运营企业应积极按照本规划开展</w:t>
      </w:r>
      <w:r>
        <w:rPr>
          <w:rFonts w:cs="Times New Roman"/>
          <w:kern w:val="2"/>
        </w:rPr>
        <w:t>5G</w:t>
      </w:r>
      <w:r>
        <w:rPr>
          <w:rFonts w:hint="eastAsia" w:cs="Times New Roman"/>
          <w:kern w:val="2"/>
        </w:rPr>
        <w:t>通信设施建设工作，保障其全面服务于梁平区的建设与发展。</w:t>
      </w:r>
    </w:p>
    <w:p>
      <w:pPr>
        <w:spacing w:line="360" w:lineRule="auto"/>
        <w:ind w:firstLine="480" w:firstLineChars="200"/>
        <w:jc w:val="both"/>
        <w:rPr>
          <w:rFonts w:cs="Times New Roman"/>
          <w:kern w:val="2"/>
        </w:rPr>
      </w:pPr>
      <w:r>
        <w:rPr>
          <w:rFonts w:cs="Times New Roman"/>
          <w:kern w:val="2"/>
        </w:rPr>
        <w:t>4.</w:t>
      </w:r>
      <w:r>
        <w:rPr>
          <w:rFonts w:hint="eastAsia" w:cs="Times New Roman"/>
          <w:kern w:val="2"/>
        </w:rPr>
        <w:t>各相关部门和单位应依法按照本规划进行</w:t>
      </w:r>
      <w:r>
        <w:rPr>
          <w:rFonts w:cs="Times New Roman"/>
          <w:kern w:val="2"/>
        </w:rPr>
        <w:t>5G</w:t>
      </w:r>
      <w:r>
        <w:rPr>
          <w:rFonts w:hint="eastAsia" w:cs="Times New Roman"/>
          <w:kern w:val="2"/>
        </w:rPr>
        <w:t>通信设施建设、管理和监督工作，建立安全、可靠、高效的通信系统，增强城市通信保障能力。</w:t>
      </w:r>
    </w:p>
    <w:p>
      <w:pPr>
        <w:spacing w:line="360" w:lineRule="auto"/>
        <w:ind w:firstLine="480" w:firstLineChars="200"/>
        <w:jc w:val="both"/>
        <w:rPr>
          <w:rFonts w:cs="Times New Roman"/>
          <w:kern w:val="2"/>
        </w:rPr>
      </w:pPr>
      <w:r>
        <w:rPr>
          <w:rFonts w:cs="Times New Roman"/>
          <w:kern w:val="2"/>
        </w:rPr>
        <w:t>5.</w:t>
      </w:r>
      <w:r>
        <w:rPr>
          <w:rFonts w:hint="eastAsia" w:cs="Times New Roman"/>
          <w:kern w:val="2"/>
        </w:rPr>
        <w:t>在涉及现有通信基础设施保护范围内施工时，应明确通信基础设施的准确位置，制定切实可行的保护方案，以保证通信基础设施安全。</w:t>
      </w:r>
    </w:p>
    <w:p>
      <w:pPr>
        <w:pStyle w:val="3"/>
      </w:pPr>
      <w:bookmarkStart w:id="79" w:name="_Toc56092717"/>
      <w:bookmarkStart w:id="80" w:name="_Toc55386024"/>
      <w:r>
        <w:rPr>
          <w:rFonts w:hint="eastAsia"/>
        </w:rPr>
        <w:t>法规及科普宣传</w:t>
      </w:r>
      <w:bookmarkEnd w:id="79"/>
      <w:bookmarkEnd w:id="80"/>
    </w:p>
    <w:p>
      <w:pPr>
        <w:spacing w:line="360" w:lineRule="auto"/>
        <w:ind w:firstLine="480" w:firstLineChars="200"/>
        <w:jc w:val="both"/>
        <w:rPr>
          <w:rFonts w:cs="Times New Roman"/>
          <w:kern w:val="2"/>
        </w:rPr>
      </w:pPr>
      <w:r>
        <w:rPr>
          <w:rFonts w:cs="Times New Roman"/>
          <w:kern w:val="2"/>
        </w:rPr>
        <w:t>1.</w:t>
      </w:r>
      <w:r>
        <w:rPr>
          <w:rFonts w:hint="eastAsia" w:cs="Times New Roman"/>
          <w:kern w:val="2"/>
        </w:rPr>
        <w:t>加强对《最高人民法院关于审理破坏公用电信设施刑事案件具体应用法律若干问题的解释》及《中华人民共和国电信条例》等法律法规的宣传、引导。</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各相关部门应联合运营商共同进行基站电磁辐射科普宣传，通过各种渠道，普及有关电磁辐射的常识，消除公众对基站电磁辐射的疑虑和误解。</w:t>
      </w:r>
    </w:p>
    <w:p>
      <w:pPr>
        <w:pStyle w:val="3"/>
      </w:pPr>
      <w:bookmarkStart w:id="81" w:name="_Toc55386025"/>
      <w:bookmarkStart w:id="82" w:name="_Toc56092718"/>
      <w:r>
        <w:rPr>
          <w:rFonts w:hint="eastAsia"/>
        </w:rPr>
        <w:t>部门分工</w:t>
      </w:r>
      <w:bookmarkEnd w:id="81"/>
      <w:bookmarkEnd w:id="82"/>
    </w:p>
    <w:p>
      <w:pPr>
        <w:ind w:firstLine="480" w:firstLineChars="200"/>
        <w:jc w:val="both"/>
        <w:rPr>
          <w:rFonts w:cs="Times New Roman"/>
          <w:kern w:val="2"/>
        </w:rPr>
      </w:pPr>
      <w:r>
        <w:rPr>
          <w:rFonts w:hint="eastAsia" w:cs="Times New Roman"/>
          <w:kern w:val="2"/>
        </w:rPr>
        <w:t>为保障梁平区</w:t>
      </w:r>
      <w:r>
        <w:rPr>
          <w:rFonts w:cs="Times New Roman"/>
          <w:kern w:val="2"/>
        </w:rPr>
        <w:t>5G</w:t>
      </w:r>
      <w:r>
        <w:rPr>
          <w:rFonts w:hint="eastAsia" w:cs="Times New Roman"/>
          <w:kern w:val="2"/>
        </w:rPr>
        <w:t>通信基础设施规划资源共享、顺利落地，各部门分工如下表：</w:t>
      </w:r>
    </w:p>
    <w:p>
      <w:pPr>
        <w:pStyle w:val="8"/>
        <w:spacing w:before="65" w:after="65"/>
      </w:pPr>
      <w:r>
        <w:rPr>
          <w:rFonts w:hint="eastAsia"/>
        </w:rPr>
        <w:t>表</w:t>
      </w:r>
      <w:r>
        <w:t>5.1 5G</w:t>
      </w:r>
      <w:r>
        <w:rPr>
          <w:rFonts w:hint="eastAsia"/>
        </w:rPr>
        <w:t>基础设施建设方式与责任划分表</w:t>
      </w:r>
    </w:p>
    <w:tbl>
      <w:tblPr>
        <w:tblStyle w:val="30"/>
        <w:tblW w:w="9346"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4030"/>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Align w:val="center"/>
          </w:tcPr>
          <w:p>
            <w:pPr>
              <w:jc w:val="center"/>
              <w:rPr>
                <w:rFonts w:ascii="等线" w:hAnsi="等线" w:eastAsia="等线"/>
                <w:b/>
                <w:bCs/>
                <w:color w:val="000000"/>
              </w:rPr>
            </w:pPr>
            <w:r>
              <w:rPr>
                <w:rFonts w:hint="eastAsia" w:ascii="等线" w:hAnsi="等线" w:eastAsia="等线"/>
                <w:b/>
                <w:bCs/>
                <w:color w:val="000000"/>
              </w:rPr>
              <w:t>牵头单位</w:t>
            </w:r>
          </w:p>
        </w:tc>
        <w:tc>
          <w:tcPr>
            <w:tcW w:w="4030" w:type="dxa"/>
            <w:vAlign w:val="center"/>
          </w:tcPr>
          <w:p>
            <w:pPr>
              <w:jc w:val="center"/>
              <w:rPr>
                <w:rFonts w:ascii="等线" w:hAnsi="等线" w:eastAsia="等线"/>
                <w:b/>
                <w:bCs/>
                <w:color w:val="000000"/>
              </w:rPr>
            </w:pPr>
            <w:r>
              <w:rPr>
                <w:rFonts w:hint="eastAsia" w:ascii="等线" w:hAnsi="等线" w:eastAsia="等线"/>
                <w:b/>
                <w:bCs/>
                <w:color w:val="000000"/>
              </w:rPr>
              <w:t>资源类型</w:t>
            </w:r>
          </w:p>
        </w:tc>
        <w:tc>
          <w:tcPr>
            <w:tcW w:w="3599" w:type="dxa"/>
            <w:vAlign w:val="center"/>
          </w:tcPr>
          <w:p>
            <w:pPr>
              <w:jc w:val="center"/>
              <w:rPr>
                <w:rFonts w:ascii="等线" w:hAnsi="等线" w:eastAsia="等线"/>
                <w:b/>
                <w:bCs/>
                <w:color w:val="000000"/>
              </w:rPr>
            </w:pPr>
            <w:r>
              <w:rPr>
                <w:rFonts w:hint="eastAsia" w:ascii="等线" w:hAnsi="等线" w:eastAsia="等线"/>
                <w:b/>
                <w:bCs/>
                <w:color w:val="000000"/>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717" w:type="dxa"/>
            <w:vMerge w:val="restart"/>
            <w:vAlign w:val="center"/>
          </w:tcPr>
          <w:p>
            <w:pPr>
              <w:jc w:val="center"/>
              <w:rPr>
                <w:rFonts w:ascii="等线" w:hAnsi="等线" w:eastAsia="等线"/>
                <w:b/>
                <w:bCs/>
                <w:color w:val="000000"/>
              </w:rPr>
            </w:pPr>
            <w:r>
              <w:rPr>
                <w:rFonts w:hint="eastAsia" w:ascii="等线" w:hAnsi="等线" w:eastAsia="等线"/>
                <w:b/>
                <w:bCs/>
                <w:color w:val="000000"/>
              </w:rPr>
              <w:t>区经济信息委</w:t>
            </w:r>
          </w:p>
        </w:tc>
        <w:tc>
          <w:tcPr>
            <w:tcW w:w="4030" w:type="dxa"/>
            <w:vAlign w:val="center"/>
          </w:tcPr>
          <w:p>
            <w:pPr>
              <w:jc w:val="both"/>
              <w:rPr>
                <w:rFonts w:ascii="等线" w:hAnsi="等线" w:eastAsia="等线"/>
                <w:color w:val="000000"/>
              </w:rPr>
            </w:pPr>
            <w:r>
              <w:rPr>
                <w:rFonts w:hint="eastAsia" w:ascii="等线" w:hAnsi="等线" w:eastAsia="等线"/>
                <w:color w:val="000000"/>
              </w:rPr>
              <w:t>党政机关、事业单位</w:t>
            </w:r>
          </w:p>
        </w:tc>
        <w:tc>
          <w:tcPr>
            <w:tcW w:w="3599" w:type="dxa"/>
            <w:vAlign w:val="center"/>
          </w:tcPr>
          <w:p>
            <w:pPr>
              <w:jc w:val="both"/>
              <w:rPr>
                <w:rFonts w:ascii="等线" w:hAnsi="等线" w:eastAsia="等线"/>
                <w:color w:val="000000"/>
              </w:rPr>
            </w:pPr>
            <w:r>
              <w:rPr>
                <w:rFonts w:hint="eastAsia" w:ascii="等线" w:hAnsi="等线" w:eastAsia="等线"/>
                <w:color w:val="000000"/>
              </w:rPr>
              <w:t>区党政机关、事业单位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国有企业</w:t>
            </w:r>
          </w:p>
        </w:tc>
        <w:tc>
          <w:tcPr>
            <w:tcW w:w="3599" w:type="dxa"/>
            <w:vAlign w:val="center"/>
          </w:tcPr>
          <w:p>
            <w:pPr>
              <w:jc w:val="both"/>
              <w:rPr>
                <w:rFonts w:ascii="等线" w:hAnsi="等线" w:eastAsia="等线"/>
                <w:color w:val="000000"/>
              </w:rPr>
            </w:pPr>
            <w:r>
              <w:rPr>
                <w:rFonts w:hint="eastAsia" w:ascii="等线" w:hAnsi="等线" w:eastAsia="等线"/>
                <w:color w:val="000000"/>
              </w:rPr>
              <w:t>区国资委、国有企业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公园、广场、路灯杆、广告杆塔</w:t>
            </w:r>
          </w:p>
        </w:tc>
        <w:tc>
          <w:tcPr>
            <w:tcW w:w="3599" w:type="dxa"/>
            <w:vAlign w:val="center"/>
          </w:tcPr>
          <w:p>
            <w:pPr>
              <w:jc w:val="both"/>
              <w:rPr>
                <w:rFonts w:ascii="等线" w:hAnsi="等线" w:eastAsia="等线"/>
                <w:color w:val="000000"/>
              </w:rPr>
            </w:pPr>
            <w:r>
              <w:rPr>
                <w:rFonts w:hint="eastAsia" w:ascii="等线" w:hAnsi="等线" w:eastAsia="等线"/>
                <w:color w:val="000000"/>
              </w:rPr>
              <w:t>区城管局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城市道路及其绿化带、公共绿地</w:t>
            </w:r>
          </w:p>
        </w:tc>
        <w:tc>
          <w:tcPr>
            <w:tcW w:w="3599" w:type="dxa"/>
            <w:vAlign w:val="center"/>
          </w:tcPr>
          <w:p>
            <w:pPr>
              <w:jc w:val="both"/>
              <w:rPr>
                <w:rFonts w:ascii="等线" w:hAnsi="等线" w:eastAsia="等线"/>
                <w:color w:val="000000"/>
              </w:rPr>
            </w:pPr>
            <w:r>
              <w:rPr>
                <w:rFonts w:hint="eastAsia" w:ascii="等线" w:hAnsi="等线" w:eastAsia="等线"/>
                <w:color w:val="000000"/>
              </w:rPr>
              <w:t>区城管局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旅游景区及景区内建筑</w:t>
            </w:r>
          </w:p>
        </w:tc>
        <w:tc>
          <w:tcPr>
            <w:tcW w:w="3599" w:type="dxa"/>
            <w:vAlign w:val="center"/>
          </w:tcPr>
          <w:p>
            <w:pPr>
              <w:jc w:val="both"/>
              <w:rPr>
                <w:rFonts w:ascii="等线" w:hAnsi="等线" w:eastAsia="等线"/>
                <w:color w:val="000000"/>
              </w:rPr>
            </w:pPr>
            <w:r>
              <w:rPr>
                <w:rFonts w:hint="eastAsia" w:ascii="等线" w:hAnsi="等线" w:eastAsia="等线"/>
                <w:color w:val="000000"/>
              </w:rPr>
              <w:t>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文化、体育馆</w:t>
            </w:r>
          </w:p>
        </w:tc>
        <w:tc>
          <w:tcPr>
            <w:tcW w:w="3599" w:type="dxa"/>
            <w:vAlign w:val="center"/>
          </w:tcPr>
          <w:p>
            <w:pPr>
              <w:jc w:val="both"/>
              <w:rPr>
                <w:rFonts w:ascii="等线" w:hAnsi="等线" w:eastAsia="等线"/>
                <w:color w:val="000000"/>
              </w:rPr>
            </w:pPr>
            <w:r>
              <w:rPr>
                <w:rFonts w:hint="eastAsia" w:ascii="等线" w:hAnsi="等线" w:eastAsia="等线"/>
                <w:color w:val="000000"/>
              </w:rPr>
              <w:t>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公路、铁路、桥梁、隧道</w:t>
            </w:r>
          </w:p>
        </w:tc>
        <w:tc>
          <w:tcPr>
            <w:tcW w:w="3599" w:type="dxa"/>
            <w:vAlign w:val="center"/>
          </w:tcPr>
          <w:p>
            <w:pPr>
              <w:jc w:val="both"/>
              <w:rPr>
                <w:rFonts w:ascii="等线" w:hAnsi="等线" w:eastAsia="等线"/>
                <w:color w:val="000000"/>
              </w:rPr>
            </w:pPr>
            <w:r>
              <w:rPr>
                <w:rFonts w:hint="eastAsia" w:ascii="等线" w:hAnsi="等线" w:eastAsia="等线"/>
                <w:color w:val="000000"/>
              </w:rPr>
              <w:t>区交通局、城管局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机场、车站、公交站台、道路指示牌</w:t>
            </w:r>
          </w:p>
        </w:tc>
        <w:tc>
          <w:tcPr>
            <w:tcW w:w="3599" w:type="dxa"/>
            <w:vAlign w:val="center"/>
          </w:tcPr>
          <w:p>
            <w:pPr>
              <w:jc w:val="both"/>
              <w:rPr>
                <w:rFonts w:ascii="等线" w:hAnsi="等线" w:eastAsia="等线"/>
                <w:color w:val="000000"/>
              </w:rPr>
            </w:pPr>
            <w:r>
              <w:rPr>
                <w:rFonts w:hint="eastAsia" w:ascii="等线" w:hAnsi="等线" w:eastAsia="等线"/>
                <w:color w:val="000000"/>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高速公路广告牌、桥梁监控杆塔</w:t>
            </w:r>
          </w:p>
        </w:tc>
        <w:tc>
          <w:tcPr>
            <w:tcW w:w="3599" w:type="dxa"/>
            <w:vAlign w:val="center"/>
          </w:tcPr>
          <w:p>
            <w:pPr>
              <w:jc w:val="both"/>
              <w:rPr>
                <w:rFonts w:ascii="等线" w:hAnsi="等线" w:eastAsia="等线"/>
                <w:color w:val="000000"/>
              </w:rPr>
            </w:pPr>
            <w:r>
              <w:rPr>
                <w:rFonts w:hint="eastAsia" w:ascii="等线" w:hAnsi="等线" w:eastAsia="等线"/>
                <w:color w:val="000000"/>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地下综合管廊（沟）</w:t>
            </w:r>
          </w:p>
        </w:tc>
        <w:tc>
          <w:tcPr>
            <w:tcW w:w="3599" w:type="dxa"/>
            <w:vAlign w:val="center"/>
          </w:tcPr>
          <w:p>
            <w:pPr>
              <w:jc w:val="both"/>
              <w:rPr>
                <w:rFonts w:ascii="等线" w:hAnsi="等线" w:eastAsia="等线"/>
                <w:color w:val="000000"/>
              </w:rPr>
            </w:pPr>
            <w:r>
              <w:rPr>
                <w:rFonts w:hint="eastAsia" w:ascii="等线" w:hAnsi="等线" w:eastAsia="等线"/>
                <w:color w:val="000000"/>
              </w:rPr>
              <w:t>区住房和城乡建委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学校及校内建筑</w:t>
            </w:r>
          </w:p>
        </w:tc>
        <w:tc>
          <w:tcPr>
            <w:tcW w:w="3599" w:type="dxa"/>
            <w:vAlign w:val="center"/>
          </w:tcPr>
          <w:p>
            <w:pPr>
              <w:jc w:val="both"/>
              <w:rPr>
                <w:rFonts w:ascii="等线" w:hAnsi="等线" w:eastAsia="等线"/>
                <w:color w:val="000000"/>
              </w:rPr>
            </w:pPr>
            <w:r>
              <w:rPr>
                <w:rFonts w:hint="eastAsia" w:ascii="等线" w:hAnsi="等线" w:eastAsia="等线"/>
                <w:color w:val="000000"/>
              </w:rPr>
              <w:t>区教委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医院、卫生院</w:t>
            </w:r>
          </w:p>
        </w:tc>
        <w:tc>
          <w:tcPr>
            <w:tcW w:w="3599" w:type="dxa"/>
            <w:vAlign w:val="center"/>
          </w:tcPr>
          <w:p>
            <w:pPr>
              <w:jc w:val="both"/>
              <w:rPr>
                <w:rFonts w:ascii="等线" w:hAnsi="等线" w:eastAsia="等线"/>
                <w:color w:val="000000"/>
              </w:rPr>
            </w:pPr>
            <w:r>
              <w:rPr>
                <w:rFonts w:hint="eastAsia" w:ascii="等线" w:hAnsi="等线" w:eastAsia="等线"/>
                <w:color w:val="000000"/>
              </w:rPr>
              <w:t>区卫生健康委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住宅小区、商务楼宇及其地下车库</w:t>
            </w:r>
          </w:p>
        </w:tc>
        <w:tc>
          <w:tcPr>
            <w:tcW w:w="3599" w:type="dxa"/>
            <w:vAlign w:val="center"/>
          </w:tcPr>
          <w:p>
            <w:pPr>
              <w:jc w:val="both"/>
              <w:rPr>
                <w:rFonts w:ascii="等线" w:hAnsi="等线" w:eastAsia="等线"/>
                <w:color w:val="000000"/>
              </w:rPr>
            </w:pPr>
            <w:r>
              <w:rPr>
                <w:rFonts w:hint="eastAsia" w:ascii="等线" w:hAnsi="等线" w:eastAsia="等线"/>
                <w:color w:val="000000"/>
              </w:rPr>
              <w:t>区住房和城乡建委、街道办事处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jc w:val="both"/>
              <w:rPr>
                <w:rFonts w:ascii="等线" w:hAnsi="等线" w:eastAsia="等线"/>
                <w:color w:val="000000"/>
              </w:rPr>
            </w:pPr>
            <w:r>
              <w:rPr>
                <w:rFonts w:hint="eastAsia" w:ascii="等线" w:hAnsi="等线" w:eastAsia="等线"/>
                <w:color w:val="000000"/>
              </w:rPr>
              <w:t>交通信号杆、龙门架、视频监控杆</w:t>
            </w:r>
          </w:p>
        </w:tc>
        <w:tc>
          <w:tcPr>
            <w:tcW w:w="3599" w:type="dxa"/>
            <w:vAlign w:val="center"/>
          </w:tcPr>
          <w:p>
            <w:pPr>
              <w:jc w:val="both"/>
              <w:rPr>
                <w:rFonts w:ascii="等线" w:hAnsi="等线" w:eastAsia="等线"/>
                <w:color w:val="000000"/>
              </w:rPr>
            </w:pPr>
            <w:r>
              <w:rPr>
                <w:rFonts w:hint="eastAsia" w:ascii="等线" w:hAnsi="等线" w:eastAsia="等线"/>
                <w:color w:val="000000"/>
              </w:rPr>
              <w:t>区公安局、区城管局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717" w:type="dxa"/>
            <w:vMerge w:val="continue"/>
            <w:vAlign w:val="center"/>
          </w:tcPr>
          <w:p>
            <w:pPr>
              <w:rPr>
                <w:rFonts w:ascii="等线" w:hAnsi="等线" w:eastAsia="等线"/>
                <w:b/>
                <w:bCs/>
                <w:color w:val="000000"/>
              </w:rPr>
            </w:pPr>
          </w:p>
        </w:tc>
        <w:tc>
          <w:tcPr>
            <w:tcW w:w="4030" w:type="dxa"/>
            <w:vAlign w:val="center"/>
          </w:tcPr>
          <w:p>
            <w:pPr>
              <w:rPr>
                <w:rFonts w:ascii="等线" w:hAnsi="等线" w:eastAsia="等线"/>
                <w:color w:val="000000"/>
              </w:rPr>
            </w:pPr>
            <w:r>
              <w:rPr>
                <w:rFonts w:hint="eastAsia" w:ascii="等线" w:hAnsi="等线" w:eastAsia="等线"/>
                <w:color w:val="000000"/>
              </w:rPr>
              <w:t>中小微私营企业厂房、办公楼</w:t>
            </w:r>
          </w:p>
        </w:tc>
        <w:tc>
          <w:tcPr>
            <w:tcW w:w="3599" w:type="dxa"/>
            <w:vAlign w:val="center"/>
          </w:tcPr>
          <w:p>
            <w:pPr>
              <w:rPr>
                <w:rFonts w:ascii="等线" w:hAnsi="等线" w:eastAsia="等线"/>
                <w:color w:val="000000"/>
              </w:rPr>
            </w:pPr>
            <w:r>
              <w:rPr>
                <w:rFonts w:hint="eastAsia" w:ascii="等线" w:hAnsi="等线" w:eastAsia="等线"/>
                <w:color w:val="000000"/>
              </w:rPr>
              <w:t>区经济信息委</w:t>
            </w:r>
          </w:p>
        </w:tc>
      </w:tr>
    </w:tbl>
    <w:p>
      <w:pPr>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br w:type="page"/>
      </w:r>
    </w:p>
    <w:p>
      <w:pPr>
        <w:pStyle w:val="2"/>
      </w:pPr>
      <w:bookmarkStart w:id="83" w:name="_Toc55386026"/>
      <w:bookmarkStart w:id="84" w:name="_Toc56092719"/>
      <w:r>
        <w:rPr>
          <w:rFonts w:hint="eastAsia"/>
        </w:rPr>
        <w:t>环境保护</w:t>
      </w:r>
      <w:bookmarkEnd w:id="83"/>
      <w:bookmarkEnd w:id="84"/>
    </w:p>
    <w:p>
      <w:pPr>
        <w:pStyle w:val="3"/>
        <w:numPr>
          <w:ilvl w:val="0"/>
          <w:numId w:val="23"/>
        </w:numPr>
      </w:pPr>
      <w:bookmarkStart w:id="85" w:name="_Toc55386027"/>
      <w:bookmarkStart w:id="86" w:name="_Toc56092720"/>
      <w:r>
        <w:rPr>
          <w:rFonts w:hint="eastAsia"/>
        </w:rPr>
        <w:t>电磁辐射控制</w:t>
      </w:r>
      <w:bookmarkEnd w:id="85"/>
      <w:bookmarkEnd w:id="86"/>
    </w:p>
    <w:p>
      <w:pPr>
        <w:spacing w:line="360" w:lineRule="auto"/>
        <w:ind w:firstLine="480" w:firstLineChars="200"/>
        <w:jc w:val="both"/>
        <w:rPr>
          <w:rFonts w:cs="Times New Roman"/>
          <w:kern w:val="2"/>
        </w:rPr>
      </w:pPr>
      <w:r>
        <w:rPr>
          <w:rFonts w:hint="eastAsia" w:cs="Times New Roman"/>
          <w:kern w:val="2"/>
        </w:rPr>
        <w:t>通信基站是通过电磁波与终端进行通信的。根据《电磁环境控制限值》，常用通信频段（</w:t>
      </w:r>
      <w:r>
        <w:rPr>
          <w:rFonts w:cs="Times New Roman"/>
          <w:kern w:val="2"/>
        </w:rPr>
        <w:t>30MHz-3000MHz</w:t>
      </w:r>
      <w:r>
        <w:rPr>
          <w:rFonts w:hint="eastAsia" w:cs="Times New Roman"/>
          <w:kern w:val="2"/>
        </w:rPr>
        <w:t>）功率密度应小于</w:t>
      </w:r>
      <w:r>
        <w:rPr>
          <w:rFonts w:cs="Times New Roman"/>
          <w:kern w:val="2"/>
        </w:rPr>
        <w:t>40</w:t>
      </w:r>
      <w:r>
        <w:rPr>
          <w:rFonts w:hint="eastAsia" w:cs="Times New Roman"/>
          <w:kern w:val="2"/>
        </w:rPr>
        <w:t>微瓦</w:t>
      </w:r>
      <w:r>
        <w:rPr>
          <w:rFonts w:cs="Times New Roman"/>
          <w:kern w:val="2"/>
        </w:rPr>
        <w:t>/</w:t>
      </w:r>
      <w:r>
        <w:rPr>
          <w:rFonts w:hint="eastAsia" w:cs="Times New Roman"/>
          <w:kern w:val="2"/>
        </w:rPr>
        <w:t>平方厘米。根据《辐射环境保护管理导则</w:t>
      </w:r>
      <w:r>
        <w:rPr>
          <w:rFonts w:cs="Times New Roman"/>
          <w:kern w:val="2"/>
        </w:rPr>
        <w:t xml:space="preserve"> </w:t>
      </w:r>
      <w:r>
        <w:rPr>
          <w:rFonts w:hint="eastAsia" w:cs="Times New Roman"/>
          <w:kern w:val="2"/>
        </w:rPr>
        <w:t>电磁辐射环境影响评价方法与标准》中的规定，通信基站建设时执行的都是国标五分之一的标准，即小于</w:t>
      </w:r>
      <w:r>
        <w:rPr>
          <w:rFonts w:cs="Times New Roman"/>
          <w:kern w:val="2"/>
        </w:rPr>
        <w:t>8</w:t>
      </w:r>
      <w:r>
        <w:rPr>
          <w:rFonts w:hint="eastAsia" w:cs="Times New Roman"/>
          <w:kern w:val="2"/>
        </w:rPr>
        <w:t>微瓦</w:t>
      </w:r>
      <w:r>
        <w:rPr>
          <w:rFonts w:cs="Times New Roman"/>
          <w:kern w:val="2"/>
        </w:rPr>
        <w:t>/</w:t>
      </w:r>
      <w:r>
        <w:rPr>
          <w:rFonts w:hint="eastAsia" w:cs="Times New Roman"/>
          <w:kern w:val="2"/>
        </w:rPr>
        <w:t>平方厘米。通信基站设置应符合上述限值并满足《通信工程建设环境保护技术暂行规定》的控制要求。</w:t>
      </w:r>
    </w:p>
    <w:p>
      <w:pPr>
        <w:pStyle w:val="3"/>
      </w:pPr>
      <w:bookmarkStart w:id="87" w:name="_Toc56092721"/>
      <w:bookmarkStart w:id="88" w:name="_Toc55386028"/>
      <w:r>
        <w:rPr>
          <w:rFonts w:hint="eastAsia"/>
        </w:rPr>
        <w:t>生态保护控制</w:t>
      </w:r>
      <w:bookmarkEnd w:id="87"/>
      <w:bookmarkEnd w:id="88"/>
    </w:p>
    <w:p>
      <w:pPr>
        <w:spacing w:line="360" w:lineRule="auto"/>
        <w:ind w:firstLine="480" w:firstLineChars="200"/>
        <w:jc w:val="both"/>
        <w:rPr>
          <w:rFonts w:cs="Times New Roman"/>
          <w:kern w:val="2"/>
        </w:rPr>
      </w:pPr>
      <w:r>
        <w:rPr>
          <w:rFonts w:cs="Times New Roman"/>
          <w:kern w:val="2"/>
        </w:rPr>
        <w:t>1.</w:t>
      </w:r>
      <w:r>
        <w:rPr>
          <w:rFonts w:hint="eastAsia" w:cs="Times New Roman"/>
          <w:kern w:val="2"/>
        </w:rPr>
        <w:t>通信局（站）使用的柴油发电机、油汽轮机的废气排放应符合环保要求。</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通信局（站）报废的铅酸蓄电池回收须执行《中华人民共和国固体废物污染环境防治法》和《通信用铅酸蓄电池的回收处理要求》（</w:t>
      </w:r>
      <w:r>
        <w:rPr>
          <w:rFonts w:cs="Times New Roman"/>
          <w:kern w:val="2"/>
        </w:rPr>
        <w:t>GB/T 22424-2008</w:t>
      </w:r>
      <w:r>
        <w:rPr>
          <w:rFonts w:hint="eastAsia" w:cs="Times New Roman"/>
          <w:kern w:val="2"/>
        </w:rPr>
        <w:t>）的规定。</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通信工程建设中应优先采用环保的施工工艺和材料，不得使用不符合环保标准的工艺和材料。</w:t>
      </w:r>
    </w:p>
    <w:p>
      <w:pPr>
        <w:pStyle w:val="3"/>
      </w:pPr>
      <w:bookmarkStart w:id="89" w:name="_Toc55386029"/>
      <w:bookmarkStart w:id="90" w:name="_Toc56092722"/>
      <w:r>
        <w:rPr>
          <w:rFonts w:hint="eastAsia"/>
        </w:rPr>
        <w:t>噪声控制</w:t>
      </w:r>
      <w:bookmarkEnd w:id="89"/>
      <w:bookmarkEnd w:id="90"/>
    </w:p>
    <w:p>
      <w:pPr>
        <w:spacing w:line="360" w:lineRule="auto"/>
        <w:ind w:firstLine="480" w:firstLineChars="200"/>
        <w:jc w:val="both"/>
        <w:rPr>
          <w:rFonts w:cs="Times New Roman"/>
          <w:kern w:val="2"/>
        </w:rPr>
      </w:pPr>
      <w:r>
        <w:rPr>
          <w:rFonts w:cs="Times New Roman"/>
          <w:kern w:val="2"/>
        </w:rPr>
        <w:t>1.</w:t>
      </w:r>
      <w:r>
        <w:rPr>
          <w:rFonts w:hint="eastAsia" w:cs="Times New Roman"/>
          <w:kern w:val="2"/>
        </w:rPr>
        <w:t>通信建设项目在施工过程中排放的噪声，应当满足</w:t>
      </w:r>
      <w:r>
        <w:rPr>
          <w:rFonts w:cs="Times New Roman"/>
          <w:kern w:val="2"/>
        </w:rPr>
        <w:t>GB 12523-2011</w:t>
      </w:r>
      <w:r>
        <w:rPr>
          <w:rFonts w:hint="eastAsia" w:cs="Times New Roman"/>
          <w:kern w:val="2"/>
        </w:rPr>
        <w:t>《建筑施工场界环境噪声排放标准》的要求，并符合环保部门的相关规定。</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通信局（站）建设应合理选址，并满足</w:t>
      </w:r>
      <w:r>
        <w:rPr>
          <w:rFonts w:cs="Times New Roman"/>
          <w:kern w:val="2"/>
        </w:rPr>
        <w:t>GB 12348-2008</w:t>
      </w:r>
      <w:r>
        <w:rPr>
          <w:rFonts w:hint="eastAsia" w:cs="Times New Roman"/>
          <w:kern w:val="2"/>
        </w:rPr>
        <w:t>《工业企业厂界噪声排放标准》的要求。</w:t>
      </w:r>
    </w:p>
    <w:p>
      <w:pPr>
        <w:spacing w:line="360" w:lineRule="auto"/>
        <w:ind w:firstLine="480" w:firstLineChars="200"/>
        <w:jc w:val="both"/>
        <w:rPr>
          <w:rFonts w:cs="Times New Roman"/>
          <w:kern w:val="2"/>
        </w:rPr>
      </w:pPr>
      <w:r>
        <w:rPr>
          <w:rFonts w:cs="Times New Roman"/>
          <w:kern w:val="2"/>
        </w:rPr>
        <w:t>3.</w:t>
      </w:r>
      <w:r>
        <w:rPr>
          <w:rFonts w:hint="eastAsia" w:cs="Times New Roman"/>
          <w:kern w:val="2"/>
        </w:rPr>
        <w:t>必须保持防治环境噪声污染的设施正常使用，拆除或闲置环境噪声污染防治设施应报环境保护行政主管部门批准。</w:t>
      </w:r>
      <w:r>
        <w:rPr>
          <w:rFonts w:cs="Times New Roman"/>
          <w:kern w:val="2"/>
        </w:rPr>
        <w:br w:type="page"/>
      </w:r>
    </w:p>
    <w:p>
      <w:pPr>
        <w:pStyle w:val="2"/>
      </w:pPr>
      <w:bookmarkStart w:id="91" w:name="_Toc55386030"/>
      <w:bookmarkStart w:id="92" w:name="_Toc56092723"/>
      <w:r>
        <w:t>5G</w:t>
      </w:r>
      <w:r>
        <w:rPr>
          <w:rFonts w:hint="eastAsia"/>
        </w:rPr>
        <w:t>安全分析</w:t>
      </w:r>
      <w:bookmarkEnd w:id="91"/>
      <w:bookmarkEnd w:id="92"/>
    </w:p>
    <w:p>
      <w:pPr>
        <w:spacing w:line="360" w:lineRule="auto"/>
        <w:ind w:firstLine="480" w:firstLineChars="200"/>
        <w:jc w:val="both"/>
        <w:rPr>
          <w:rFonts w:cs="Times New Roman"/>
          <w:kern w:val="2"/>
        </w:rPr>
      </w:pPr>
      <w:r>
        <w:rPr>
          <w:rFonts w:cs="Times New Roman"/>
          <w:kern w:val="2"/>
        </w:rPr>
        <w:t>5G</w:t>
      </w:r>
      <w:r>
        <w:rPr>
          <w:rFonts w:hint="eastAsia" w:cs="Times New Roman"/>
          <w:kern w:val="2"/>
        </w:rPr>
        <w:t>不仅是技术变革，更是新生态体系的构建，认识</w:t>
      </w:r>
      <w:r>
        <w:rPr>
          <w:rFonts w:cs="Times New Roman"/>
          <w:kern w:val="2"/>
        </w:rPr>
        <w:t>5G</w:t>
      </w:r>
      <w:r>
        <w:rPr>
          <w:rFonts w:hint="eastAsia" w:cs="Times New Roman"/>
          <w:kern w:val="2"/>
        </w:rPr>
        <w:t>安全问题，既需要从技术、场景等角度进行客观分析，也需要从产业生态维度进行综合评估。</w:t>
      </w:r>
    </w:p>
    <w:p>
      <w:pPr>
        <w:pStyle w:val="3"/>
        <w:numPr>
          <w:ilvl w:val="0"/>
          <w:numId w:val="24"/>
        </w:numPr>
      </w:pPr>
      <w:bookmarkStart w:id="93" w:name="_Toc56092724"/>
      <w:bookmarkStart w:id="94" w:name="_Toc55386031"/>
      <w:r>
        <w:t xml:space="preserve">5G </w:t>
      </w:r>
      <w:r>
        <w:rPr>
          <w:rFonts w:hint="eastAsia"/>
        </w:rPr>
        <w:t>关键技术安全分析</w:t>
      </w:r>
      <w:bookmarkEnd w:id="93"/>
      <w:bookmarkEnd w:id="94"/>
    </w:p>
    <w:p>
      <w:pPr>
        <w:spacing w:line="360" w:lineRule="auto"/>
        <w:ind w:firstLine="480" w:firstLineChars="200"/>
        <w:jc w:val="both"/>
        <w:rPr>
          <w:rFonts w:cs="Times New Roman"/>
          <w:kern w:val="2"/>
        </w:rPr>
      </w:pPr>
      <w:r>
        <w:rPr>
          <w:rFonts w:cs="Times New Roman"/>
          <w:kern w:val="2"/>
        </w:rPr>
        <w:t>1.</w:t>
      </w:r>
      <w:r>
        <w:rPr>
          <w:rFonts w:cs="Times New Roman"/>
          <w:kern w:val="2"/>
        </w:rPr>
        <w:tab/>
      </w:r>
      <w:r>
        <w:rPr>
          <w:rFonts w:hint="eastAsia" w:cs="Times New Roman"/>
          <w:kern w:val="2"/>
        </w:rPr>
        <w:t>网络功能虚拟化</w:t>
      </w:r>
    </w:p>
    <w:p>
      <w:pPr>
        <w:spacing w:line="360" w:lineRule="auto"/>
        <w:ind w:firstLine="480" w:firstLineChars="200"/>
        <w:jc w:val="both"/>
        <w:rPr>
          <w:rFonts w:cs="Times New Roman"/>
          <w:kern w:val="2"/>
        </w:rPr>
      </w:pPr>
      <w:r>
        <w:rPr>
          <w:rFonts w:hint="eastAsia" w:cs="Times New Roman"/>
          <w:kern w:val="2"/>
        </w:rPr>
        <w:t>安全风险：一是虚拟环境下，管理控制功能高度集中，一旦其功能失效或被非法控制，将影响整个系统的安全稳定运行；二是多个虚拟网络功能（</w:t>
      </w:r>
      <w:r>
        <w:rPr>
          <w:rFonts w:cs="Times New Roman"/>
          <w:kern w:val="2"/>
        </w:rPr>
        <w:t>VNF</w:t>
      </w:r>
      <w:r>
        <w:rPr>
          <w:rFonts w:hint="eastAsia" w:cs="Times New Roman"/>
          <w:kern w:val="2"/>
        </w:rPr>
        <w:t>）共享下层基础资源，若某个虚拟网络功能被攻击将会波及其他功能；三是由于网络虚拟化大量采用开源和第三方软件，引入安全漏洞的可能性加大。</w:t>
      </w:r>
    </w:p>
    <w:p>
      <w:pPr>
        <w:spacing w:line="360" w:lineRule="auto"/>
        <w:ind w:firstLine="480" w:firstLineChars="200"/>
        <w:jc w:val="both"/>
        <w:rPr>
          <w:rFonts w:cs="Times New Roman"/>
          <w:kern w:val="2"/>
        </w:rPr>
      </w:pPr>
      <w:r>
        <w:rPr>
          <w:rFonts w:hint="eastAsia" w:cs="Times New Roman"/>
          <w:kern w:val="2"/>
        </w:rPr>
        <w:t>技术应对措施：可借鉴现有在</w:t>
      </w:r>
      <w:r>
        <w:rPr>
          <w:rFonts w:cs="Times New Roman"/>
          <w:kern w:val="2"/>
        </w:rPr>
        <w:t>4G</w:t>
      </w:r>
      <w:r>
        <w:rPr>
          <w:rFonts w:hint="eastAsia" w:cs="Times New Roman"/>
          <w:kern w:val="2"/>
        </w:rPr>
        <w:t>核心网和</w:t>
      </w:r>
      <w:r>
        <w:rPr>
          <w:rFonts w:cs="Times New Roman"/>
          <w:kern w:val="2"/>
        </w:rPr>
        <w:t>IT</w:t>
      </w:r>
      <w:r>
        <w:rPr>
          <w:rFonts w:hint="eastAsia" w:cs="Times New Roman"/>
          <w:kern w:val="2"/>
        </w:rPr>
        <w:t>行业应用中使用的云化安全解决方案，并参考欧洲电信标准化协会（</w:t>
      </w:r>
      <w:r>
        <w:rPr>
          <w:rFonts w:cs="Times New Roman"/>
          <w:kern w:val="2"/>
        </w:rPr>
        <w:t>ETSI</w:t>
      </w:r>
      <w:r>
        <w:rPr>
          <w:rFonts w:hint="eastAsia" w:cs="Times New Roman"/>
          <w:kern w:val="2"/>
        </w:rPr>
        <w:t>）制定的多个网络虚拟化安全标准。一是进行系统安全加固，对管理控制操作进行安全跟踪和审计，提升防攻击能力。二是提供端到端、多层次资源的安全隔离措施，对关键数据进行加密和备份。三是加强开源第三方软件安全管理。</w:t>
      </w:r>
    </w:p>
    <w:p>
      <w:pPr>
        <w:spacing w:line="360" w:lineRule="auto"/>
        <w:ind w:firstLine="480" w:firstLineChars="200"/>
        <w:jc w:val="both"/>
        <w:rPr>
          <w:rFonts w:cs="Times New Roman"/>
          <w:kern w:val="2"/>
        </w:rPr>
      </w:pPr>
      <w:r>
        <w:rPr>
          <w:rFonts w:cs="Times New Roman"/>
          <w:kern w:val="2"/>
        </w:rPr>
        <w:t>2.</w:t>
      </w:r>
      <w:r>
        <w:rPr>
          <w:rFonts w:cs="Times New Roman"/>
          <w:kern w:val="2"/>
        </w:rPr>
        <w:tab/>
      </w:r>
      <w:r>
        <w:rPr>
          <w:rFonts w:hint="eastAsia" w:cs="Times New Roman"/>
          <w:kern w:val="2"/>
        </w:rPr>
        <w:t>网络切片</w:t>
      </w:r>
    </w:p>
    <w:p>
      <w:pPr>
        <w:spacing w:line="360" w:lineRule="auto"/>
        <w:ind w:firstLine="480" w:firstLineChars="200"/>
        <w:jc w:val="both"/>
        <w:rPr>
          <w:rFonts w:cs="Times New Roman"/>
          <w:kern w:val="2"/>
        </w:rPr>
      </w:pPr>
      <w:r>
        <w:rPr>
          <w:rFonts w:hint="eastAsia" w:cs="Times New Roman"/>
          <w:kern w:val="2"/>
        </w:rPr>
        <w:t>安全风险：网络切片基于虚拟化技术，在共享的资源上实现逻辑隔离，如果没有采取适当的安全隔离机制和措施，当某个低防护能力的网络切片受到攻击，攻击者可以此为跳板攻击其他切片，进而影响其正常运行。</w:t>
      </w:r>
    </w:p>
    <w:p>
      <w:pPr>
        <w:spacing w:line="360" w:lineRule="auto"/>
        <w:ind w:firstLine="480" w:firstLineChars="200"/>
        <w:jc w:val="both"/>
        <w:rPr>
          <w:rFonts w:cs="Times New Roman"/>
          <w:kern w:val="2"/>
        </w:rPr>
      </w:pPr>
      <w:r>
        <w:rPr>
          <w:rFonts w:hint="eastAsia" w:cs="Times New Roman"/>
          <w:kern w:val="2"/>
        </w:rPr>
        <w:t>技术应对措施：针对上述安全风险，可使用云化、虚拟化隔离措</w:t>
      </w:r>
      <w:r>
        <w:rPr>
          <w:rFonts w:cs="Times New Roman"/>
          <w:kern w:val="2"/>
        </w:rPr>
        <w:t xml:space="preserve"> </w:t>
      </w:r>
      <w:r>
        <w:rPr>
          <w:rFonts w:hint="eastAsia" w:cs="Times New Roman"/>
          <w:kern w:val="2"/>
        </w:rPr>
        <w:t>施，如物理隔离，虚机（</w:t>
      </w:r>
      <w:r>
        <w:rPr>
          <w:rFonts w:cs="Times New Roman"/>
          <w:kern w:val="2"/>
        </w:rPr>
        <w:t>VM</w:t>
      </w:r>
      <w:r>
        <w:rPr>
          <w:rFonts w:hint="eastAsia" w:cs="Times New Roman"/>
          <w:kern w:val="2"/>
        </w:rPr>
        <w:t>）资源隔离、虚拟防火墙等，实现精准、灵活的切片隔离，保证不同切片使用者之间资源的有效隔离，同时要做好网络切片运维和运营安全的管理，确保相应的技术措施得到落实。</w:t>
      </w:r>
    </w:p>
    <w:p>
      <w:pPr>
        <w:spacing w:line="360" w:lineRule="auto"/>
        <w:ind w:firstLine="480" w:firstLineChars="200"/>
        <w:jc w:val="both"/>
        <w:rPr>
          <w:rFonts w:cs="Times New Roman"/>
          <w:kern w:val="2"/>
        </w:rPr>
      </w:pPr>
      <w:r>
        <w:rPr>
          <w:rFonts w:cs="Times New Roman"/>
          <w:kern w:val="2"/>
        </w:rPr>
        <w:t>3.</w:t>
      </w:r>
      <w:r>
        <w:rPr>
          <w:rFonts w:cs="Times New Roman"/>
          <w:kern w:val="2"/>
        </w:rPr>
        <w:tab/>
      </w:r>
      <w:r>
        <w:rPr>
          <w:rFonts w:hint="eastAsia" w:cs="Times New Roman"/>
          <w:kern w:val="2"/>
        </w:rPr>
        <w:t>边缘计算</w:t>
      </w:r>
    </w:p>
    <w:p>
      <w:pPr>
        <w:spacing w:line="360" w:lineRule="auto"/>
        <w:ind w:firstLine="480" w:firstLineChars="200"/>
        <w:jc w:val="both"/>
        <w:rPr>
          <w:rFonts w:cs="Times New Roman"/>
          <w:kern w:val="2"/>
        </w:rPr>
      </w:pPr>
      <w:r>
        <w:rPr>
          <w:rFonts w:hint="eastAsia" w:cs="Times New Roman"/>
          <w:kern w:val="2"/>
        </w:rPr>
        <w:t>安全风险：一是边缘计算节点下沉到核心网边缘，在部署到相对不安全的物理环境时，受到物理攻击的可能性更大。二是在边缘计算平台上可部署多个应用，共享相关资源，一旦某个应用防护较弱被攻破，将会影响在边缘计算平台上其他应用的安全运行。</w:t>
      </w:r>
    </w:p>
    <w:p>
      <w:pPr>
        <w:spacing w:line="360" w:lineRule="auto"/>
        <w:ind w:firstLine="480" w:firstLineChars="200"/>
        <w:jc w:val="both"/>
        <w:rPr>
          <w:rFonts w:cs="Times New Roman"/>
          <w:kern w:val="2"/>
        </w:rPr>
      </w:pPr>
      <w:r>
        <w:rPr>
          <w:rFonts w:hint="eastAsia" w:cs="Times New Roman"/>
          <w:kern w:val="2"/>
        </w:rPr>
        <w:t>技术应对措施：一是对边缘计算设施加强物理保护和网络防护，充分利用已有的安全技术进行平台加固并增强边缘设施自身的防盗防破坏措施。二是加强应用的安全防护，完善应用层接入到边缘计算节点的安全认证与授权机制，在部署第三方应用时，要根据部署模式明确各方安全责任划分并协作落实。</w:t>
      </w:r>
    </w:p>
    <w:p>
      <w:pPr>
        <w:spacing w:line="360" w:lineRule="auto"/>
        <w:ind w:firstLine="480" w:firstLineChars="200"/>
        <w:jc w:val="both"/>
        <w:rPr>
          <w:rFonts w:cs="Times New Roman"/>
          <w:kern w:val="2"/>
        </w:rPr>
      </w:pPr>
      <w:r>
        <w:rPr>
          <w:rFonts w:cs="Times New Roman"/>
          <w:kern w:val="2"/>
        </w:rPr>
        <w:t>4.</w:t>
      </w:r>
      <w:r>
        <w:rPr>
          <w:rFonts w:cs="Times New Roman"/>
          <w:kern w:val="2"/>
        </w:rPr>
        <w:tab/>
      </w:r>
      <w:r>
        <w:rPr>
          <w:rFonts w:hint="eastAsia" w:cs="Times New Roman"/>
          <w:kern w:val="2"/>
        </w:rPr>
        <w:t>网络能力开放</w:t>
      </w:r>
    </w:p>
    <w:p>
      <w:pPr>
        <w:spacing w:line="360" w:lineRule="auto"/>
        <w:ind w:firstLine="480" w:firstLineChars="200"/>
        <w:jc w:val="both"/>
        <w:rPr>
          <w:rFonts w:cs="Times New Roman"/>
          <w:kern w:val="2"/>
        </w:rPr>
      </w:pPr>
      <w:r>
        <w:rPr>
          <w:rFonts w:hint="eastAsia" w:cs="Times New Roman"/>
          <w:kern w:val="2"/>
        </w:rPr>
        <w:t>安全风险：一是网络能力开放将用户个人信息、网络数据和业务数据等从网络运营商内部的封闭平台中开放出来，网络运营商对数据的管理控制能力减弱，可能会带来数据泄露的风险。二是网络能力开放接口采用互联网通用协议，会进一步将互联网已有的安全风险引入到</w:t>
      </w:r>
      <w:r>
        <w:rPr>
          <w:rFonts w:cs="Times New Roman"/>
          <w:kern w:val="2"/>
        </w:rPr>
        <w:t>5G</w:t>
      </w:r>
      <w:r>
        <w:rPr>
          <w:rFonts w:hint="eastAsia" w:cs="Times New Roman"/>
          <w:kern w:val="2"/>
        </w:rPr>
        <w:t>网络。</w:t>
      </w:r>
    </w:p>
    <w:p>
      <w:pPr>
        <w:spacing w:line="360" w:lineRule="auto"/>
        <w:ind w:firstLine="480" w:firstLineChars="200"/>
        <w:jc w:val="both"/>
        <w:rPr>
          <w:rFonts w:cs="Times New Roman"/>
          <w:kern w:val="2"/>
        </w:rPr>
      </w:pPr>
      <w:r>
        <w:rPr>
          <w:rFonts w:hint="eastAsia" w:cs="Times New Roman"/>
          <w:kern w:val="2"/>
        </w:rPr>
        <w:t>技术应对措施：一是加强</w:t>
      </w:r>
      <w:r>
        <w:rPr>
          <w:rFonts w:cs="Times New Roman"/>
          <w:kern w:val="2"/>
        </w:rPr>
        <w:t>5G</w:t>
      </w:r>
      <w:r>
        <w:rPr>
          <w:rFonts w:hint="eastAsia" w:cs="Times New Roman"/>
          <w:kern w:val="2"/>
        </w:rPr>
        <w:t>网络数据保护，强化安全威胁监测与处置。二是加强网络开放接口安全防护能力，防止攻击者从开放接口渗透进入运营商网络。</w:t>
      </w:r>
    </w:p>
    <w:p>
      <w:pPr>
        <w:spacing w:line="360" w:lineRule="auto"/>
        <w:ind w:firstLine="480" w:firstLineChars="200"/>
        <w:jc w:val="both"/>
        <w:rPr>
          <w:rFonts w:cs="Times New Roman"/>
          <w:kern w:val="2"/>
        </w:rPr>
      </w:pPr>
      <w:r>
        <w:rPr>
          <w:rFonts w:hint="eastAsia" w:cs="Times New Roman"/>
          <w:kern w:val="2"/>
        </w:rPr>
        <w:t>从整体看，尽管</w:t>
      </w:r>
      <w:r>
        <w:rPr>
          <w:rFonts w:cs="Times New Roman"/>
          <w:kern w:val="2"/>
        </w:rPr>
        <w:t>5G</w:t>
      </w:r>
      <w:r>
        <w:rPr>
          <w:rFonts w:hint="eastAsia" w:cs="Times New Roman"/>
          <w:kern w:val="2"/>
        </w:rPr>
        <w:t>网络引入的网络功能虚拟化、网络切片、边缘计算、网络能力开放等关键技术，一定程度上带来了新的安全威胁和风险，对数据保护、安全防护和运营部署等方面提出了更高要求，但这些技术的引入也是逐步推进和不断迭代的，其伴生而来的安全风险，既可通过强化事前风险评估，也可在事中事后环节采取相应的技术解决方案和安全保障措施，予以缓解和应对。</w:t>
      </w:r>
    </w:p>
    <w:p>
      <w:pPr>
        <w:pStyle w:val="3"/>
      </w:pPr>
      <w:bookmarkStart w:id="95" w:name="_Toc55386032"/>
      <w:bookmarkStart w:id="96" w:name="_Toc56092725"/>
      <w:r>
        <w:t xml:space="preserve">5G </w:t>
      </w:r>
      <w:r>
        <w:rPr>
          <w:rFonts w:hint="eastAsia"/>
        </w:rPr>
        <w:t>典型场景安全分析</w:t>
      </w:r>
      <w:bookmarkEnd w:id="95"/>
      <w:bookmarkEnd w:id="96"/>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应用场景因技术本身以及应用场景自身特点面临新的安全风险，成为影响</w:t>
      </w:r>
      <w:r>
        <w:rPr>
          <w:rFonts w:cs="Times New Roman"/>
          <w:kern w:val="2"/>
        </w:rPr>
        <w:t>5G</w:t>
      </w:r>
      <w:r>
        <w:rPr>
          <w:rFonts w:hint="eastAsia" w:cs="Times New Roman"/>
          <w:kern w:val="2"/>
        </w:rPr>
        <w:t>融合业务发展的关键要素。目前</w:t>
      </w:r>
      <w:r>
        <w:rPr>
          <w:rFonts w:cs="Times New Roman"/>
          <w:kern w:val="2"/>
        </w:rPr>
        <w:t>5G</w:t>
      </w:r>
      <w:r>
        <w:rPr>
          <w:rFonts w:hint="eastAsia" w:cs="Times New Roman"/>
          <w:kern w:val="2"/>
        </w:rPr>
        <w:t>典型场景以增强移动宽带业务为主，并逐步拓展到各垂直行业。</w:t>
      </w:r>
      <w:r>
        <w:rPr>
          <w:rFonts w:cs="Times New Roman"/>
          <w:kern w:val="2"/>
        </w:rPr>
        <w:t>3GPP</w:t>
      </w:r>
      <w:r>
        <w:rPr>
          <w:rFonts w:hint="eastAsia" w:cs="Times New Roman"/>
          <w:kern w:val="2"/>
        </w:rPr>
        <w:t>已经完成</w:t>
      </w:r>
      <w:r>
        <w:rPr>
          <w:rFonts w:cs="Times New Roman"/>
          <w:kern w:val="2"/>
        </w:rPr>
        <w:t>eMBB</w:t>
      </w:r>
      <w:r>
        <w:rPr>
          <w:rFonts w:hint="eastAsia" w:cs="Times New Roman"/>
          <w:kern w:val="2"/>
        </w:rPr>
        <w:t>场景相关安全标准制定工作，</w:t>
      </w:r>
      <w:r>
        <w:rPr>
          <w:rFonts w:cs="Times New Roman"/>
          <w:kern w:val="2"/>
        </w:rPr>
        <w:t>uRLLC</w:t>
      </w:r>
      <w:r>
        <w:rPr>
          <w:rFonts w:hint="eastAsia" w:cs="Times New Roman"/>
          <w:kern w:val="2"/>
        </w:rPr>
        <w:t>及</w:t>
      </w:r>
      <w:r>
        <w:rPr>
          <w:rFonts w:cs="Times New Roman"/>
          <w:kern w:val="2"/>
        </w:rPr>
        <w:t>mMTC</w:t>
      </w:r>
      <w:r>
        <w:rPr>
          <w:rFonts w:hint="eastAsia" w:cs="Times New Roman"/>
          <w:kern w:val="2"/>
        </w:rPr>
        <w:t>场景标准正在制定中。</w:t>
      </w:r>
    </w:p>
    <w:p>
      <w:pPr>
        <w:widowControl w:val="0"/>
        <w:spacing w:line="360" w:lineRule="auto"/>
        <w:ind w:firstLine="480" w:firstLineChars="200"/>
        <w:jc w:val="both"/>
        <w:rPr>
          <w:rFonts w:cs="Times New Roman"/>
          <w:kern w:val="2"/>
        </w:rPr>
      </w:pPr>
      <w:r>
        <w:rPr>
          <w:rFonts w:hint="eastAsia" w:cs="Times New Roman"/>
          <w:kern w:val="2"/>
        </w:rPr>
        <w:t>增强移动宽带（</w:t>
      </w:r>
      <w:r>
        <w:rPr>
          <w:rFonts w:cs="Times New Roman"/>
          <w:kern w:val="2"/>
        </w:rPr>
        <w:t>eMBB</w:t>
      </w:r>
      <w:r>
        <w:rPr>
          <w:rFonts w:hint="eastAsia" w:cs="Times New Roman"/>
          <w:kern w:val="2"/>
        </w:rPr>
        <w:t>）场景：主要应用包括</w:t>
      </w:r>
      <w:r>
        <w:rPr>
          <w:rFonts w:cs="Times New Roman"/>
          <w:kern w:val="2"/>
        </w:rPr>
        <w:t>4K/8K</w:t>
      </w:r>
      <w:r>
        <w:rPr>
          <w:rFonts w:hint="eastAsia" w:cs="Times New Roman"/>
          <w:kern w:val="2"/>
        </w:rPr>
        <w:t>超高清移动视频、沉浸式的</w:t>
      </w:r>
      <w:r>
        <w:rPr>
          <w:rFonts w:cs="Times New Roman"/>
          <w:kern w:val="2"/>
        </w:rPr>
        <w:t>AR</w:t>
      </w:r>
      <w:r>
        <w:rPr>
          <w:rFonts w:hint="eastAsia" w:cs="Times New Roman"/>
          <w:kern w:val="2"/>
        </w:rPr>
        <w:t>（增强现实）</w:t>
      </w:r>
      <w:r>
        <w:rPr>
          <w:rFonts w:cs="Times New Roman"/>
          <w:kern w:val="2"/>
        </w:rPr>
        <w:t>/VR</w:t>
      </w:r>
      <w:r>
        <w:rPr>
          <w:rFonts w:hint="eastAsia" w:cs="Times New Roman"/>
          <w:kern w:val="2"/>
        </w:rPr>
        <w:t>（虚拟现实）业务。主要风险是：增强移动宽带场景下的超大流量对于现有网络安全防护手段形成挑战。由于</w:t>
      </w:r>
      <w:r>
        <w:rPr>
          <w:rFonts w:cs="Times New Roman"/>
          <w:kern w:val="2"/>
        </w:rPr>
        <w:t>5G</w:t>
      </w:r>
      <w:r>
        <w:rPr>
          <w:rFonts w:hint="eastAsia" w:cs="Times New Roman"/>
          <w:kern w:val="2"/>
        </w:rPr>
        <w:t>数据速率较</w:t>
      </w:r>
      <w:r>
        <w:rPr>
          <w:rFonts w:cs="Times New Roman"/>
          <w:kern w:val="2"/>
        </w:rPr>
        <w:t>4G</w:t>
      </w:r>
      <w:r>
        <w:rPr>
          <w:rFonts w:hint="eastAsia" w:cs="Times New Roman"/>
          <w:kern w:val="2"/>
        </w:rPr>
        <w:t>增长</w:t>
      </w:r>
      <w:r>
        <w:rPr>
          <w:rFonts w:cs="Times New Roman"/>
          <w:kern w:val="2"/>
        </w:rPr>
        <w:t>10</w:t>
      </w:r>
      <w:r>
        <w:rPr>
          <w:rFonts w:hint="eastAsia" w:cs="Times New Roman"/>
          <w:kern w:val="2"/>
        </w:rPr>
        <w:t>倍以上，网络边缘数据流量将大幅提升，现有网络中部署的防火墙、入侵检测系统等安全设备在流量检测、链路覆盖、数据存储等方面将难以满足超大流量下的安全防护需求，面临较大挑战。</w:t>
      </w:r>
    </w:p>
    <w:p>
      <w:pPr>
        <w:widowControl w:val="0"/>
        <w:spacing w:line="360" w:lineRule="auto"/>
        <w:ind w:firstLine="480" w:firstLineChars="200"/>
        <w:jc w:val="both"/>
        <w:rPr>
          <w:rFonts w:cs="Times New Roman"/>
          <w:kern w:val="2"/>
        </w:rPr>
      </w:pPr>
      <w:r>
        <w:rPr>
          <w:rFonts w:hint="eastAsia" w:cs="Times New Roman"/>
          <w:kern w:val="2"/>
        </w:rPr>
        <w:t>超高可靠低时延（</w:t>
      </w:r>
      <w:r>
        <w:rPr>
          <w:rFonts w:cs="Times New Roman"/>
          <w:kern w:val="2"/>
        </w:rPr>
        <w:t>uRLLC</w:t>
      </w:r>
      <w:r>
        <w:rPr>
          <w:rFonts w:hint="eastAsia" w:cs="Times New Roman"/>
          <w:kern w:val="2"/>
        </w:rPr>
        <w:t>）场景：典型应用包括工业互联网、车联网自动驾驶等。</w:t>
      </w:r>
      <w:r>
        <w:rPr>
          <w:rFonts w:cs="Times New Roman"/>
          <w:kern w:val="2"/>
        </w:rPr>
        <w:t>uRLLC</w:t>
      </w:r>
      <w:r>
        <w:rPr>
          <w:rFonts w:hint="eastAsia" w:cs="Times New Roman"/>
          <w:kern w:val="2"/>
        </w:rPr>
        <w:t>能够提供高可靠、低时延的服务质量保障，其主要安全风险是：低时延需求造成复杂安全机制部署受限。安全机制的部署，例如接入认证、数据传输安全保护、终端移动过程中切换、数据加解密等均会增加时延，过于复杂的安全机制不能满足低时延业务的要求。</w:t>
      </w:r>
    </w:p>
    <w:p>
      <w:pPr>
        <w:widowControl w:val="0"/>
        <w:spacing w:line="360" w:lineRule="auto"/>
        <w:ind w:firstLine="480" w:firstLineChars="200"/>
        <w:jc w:val="both"/>
        <w:rPr>
          <w:rFonts w:cs="Times New Roman"/>
          <w:kern w:val="2"/>
        </w:rPr>
      </w:pPr>
      <w:r>
        <w:rPr>
          <w:rFonts w:hint="eastAsia" w:cs="Times New Roman"/>
          <w:kern w:val="2"/>
        </w:rPr>
        <w:t>海量机器类通信（</w:t>
      </w:r>
      <w:r>
        <w:rPr>
          <w:rFonts w:cs="Times New Roman"/>
          <w:kern w:val="2"/>
        </w:rPr>
        <w:t>mMTC</w:t>
      </w:r>
      <w:r>
        <w:rPr>
          <w:rFonts w:hint="eastAsia" w:cs="Times New Roman"/>
          <w:kern w:val="2"/>
        </w:rPr>
        <w:t>）场景：应用覆盖领域广，接入设备多、应用地域和设备供应商标准分散、业务种类多。主要安全风险是：泛在连接场景下的海量多样化终端易被攻击利用，对网络运行安全造成威胁。</w:t>
      </w:r>
      <w:r>
        <w:rPr>
          <w:rFonts w:cs="Times New Roman"/>
          <w:kern w:val="2"/>
        </w:rPr>
        <w:t>5G</w:t>
      </w:r>
      <w:r>
        <w:rPr>
          <w:rFonts w:hint="eastAsia" w:cs="Times New Roman"/>
          <w:kern w:val="2"/>
        </w:rPr>
        <w:t>时代将有海量物联网终端接入，预计到</w:t>
      </w:r>
      <w:r>
        <w:rPr>
          <w:rFonts w:cs="Times New Roman"/>
          <w:kern w:val="2"/>
        </w:rPr>
        <w:t>2025</w:t>
      </w:r>
      <w:r>
        <w:rPr>
          <w:rFonts w:hint="eastAsia" w:cs="Times New Roman"/>
          <w:kern w:val="2"/>
        </w:rPr>
        <w:t>年全球物联网设备联网数量将达到</w:t>
      </w:r>
      <w:r>
        <w:rPr>
          <w:rFonts w:cs="Times New Roman"/>
          <w:kern w:val="2"/>
        </w:rPr>
        <w:t>252</w:t>
      </w:r>
      <w:r>
        <w:rPr>
          <w:rFonts w:hint="eastAsia" w:cs="Times New Roman"/>
          <w:kern w:val="2"/>
        </w:rPr>
        <w:t>亿。其中大量功耗低、计算和存储资源有限的终端难以部署复杂的安全策略，一旦被攻击容易形成僵尸网络，将会成为攻击源，进而引发对用户应用和后台系统等的网络攻击，带来网络中断、系统瘫痪等安全风险。</w:t>
      </w:r>
    </w:p>
    <w:p>
      <w:pPr>
        <w:widowControl w:val="0"/>
        <w:spacing w:line="360" w:lineRule="auto"/>
        <w:ind w:firstLine="480" w:firstLineChars="200"/>
        <w:jc w:val="both"/>
        <w:rPr>
          <w:rFonts w:cs="Times New Roman"/>
          <w:kern w:val="2"/>
        </w:rPr>
      </w:pPr>
      <w:r>
        <w:rPr>
          <w:rFonts w:hint="eastAsia" w:cs="Times New Roman"/>
          <w:kern w:val="2"/>
        </w:rPr>
        <w:t>针对</w:t>
      </w:r>
      <w:r>
        <w:rPr>
          <w:rFonts w:cs="Times New Roman"/>
          <w:kern w:val="2"/>
        </w:rPr>
        <w:t>5G</w:t>
      </w:r>
      <w:r>
        <w:rPr>
          <w:rFonts w:hint="eastAsia" w:cs="Times New Roman"/>
          <w:kern w:val="2"/>
        </w:rPr>
        <w:t>典型应用场景安全风险，可采取如下应对措施：一是加强安全防护技术和设备的演进升级，有效适应和应对超大流量对现有防护手段带来的冲击。二是建立面向低时延需求的安全机制，统筹优化业务接入认证、数据加解密等环节带来的时延，尽力提升低时延条件下安全防护能力。三是构建基于大规模机器类通信场景的安全模型，建立智能动态防御体系应对网络攻击，防止网络安全威胁横向扩散。</w:t>
      </w:r>
      <w:r>
        <w:rPr>
          <w:rFonts w:cs="Times New Roman"/>
          <w:kern w:val="2"/>
        </w:rPr>
        <w:br w:type="page"/>
      </w:r>
    </w:p>
    <w:p>
      <w:pPr>
        <w:pStyle w:val="2"/>
      </w:pPr>
      <w:bookmarkStart w:id="97" w:name="_Toc56092726"/>
      <w:bookmarkStart w:id="98" w:name="_Toc55386033"/>
      <w:r>
        <w:t>5G</w:t>
      </w:r>
      <w:r>
        <w:rPr>
          <w:rFonts w:hint="eastAsia"/>
        </w:rPr>
        <w:t>通信设备能耗</w:t>
      </w:r>
      <w:bookmarkEnd w:id="97"/>
      <w:bookmarkEnd w:id="98"/>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的大宽带、超低延时和海量连接特性将迎来万物互联的时代，带来无限机遇。但同时，</w:t>
      </w:r>
      <w:r>
        <w:rPr>
          <w:rFonts w:cs="Times New Roman"/>
          <w:kern w:val="2"/>
        </w:rPr>
        <w:t>5G</w:t>
      </w:r>
      <w:r>
        <w:rPr>
          <w:rFonts w:hint="eastAsia" w:cs="Times New Roman"/>
          <w:kern w:val="2"/>
        </w:rPr>
        <w:t>基站的功耗也大幅提升。</w:t>
      </w:r>
    </w:p>
    <w:p>
      <w:pPr>
        <w:widowControl w:val="0"/>
        <w:spacing w:line="360" w:lineRule="auto"/>
        <w:ind w:firstLine="480" w:firstLineChars="200"/>
        <w:jc w:val="both"/>
        <w:rPr>
          <w:rFonts w:cs="Times New Roman"/>
          <w:kern w:val="2"/>
        </w:rPr>
      </w:pPr>
      <w:r>
        <w:rPr>
          <w:rFonts w:hint="eastAsia" w:cs="Times New Roman"/>
          <w:kern w:val="2"/>
        </w:rPr>
        <w:t>目前</w:t>
      </w:r>
      <w:r>
        <w:rPr>
          <w:rFonts w:cs="Times New Roman"/>
          <w:kern w:val="2"/>
        </w:rPr>
        <w:t>5G</w:t>
      </w:r>
      <w:r>
        <w:rPr>
          <w:rFonts w:hint="eastAsia" w:cs="Times New Roman"/>
          <w:kern w:val="2"/>
        </w:rPr>
        <w:t>无线网主设备普遍采用支持</w:t>
      </w:r>
      <w:r>
        <w:rPr>
          <w:rFonts w:cs="Times New Roman"/>
          <w:kern w:val="2"/>
        </w:rPr>
        <w:t>100MHz</w:t>
      </w:r>
      <w:r>
        <w:rPr>
          <w:rFonts w:hint="eastAsia" w:cs="Times New Roman"/>
          <w:kern w:val="2"/>
        </w:rPr>
        <w:t>带宽的</w:t>
      </w:r>
      <w:r>
        <w:rPr>
          <w:rFonts w:cs="Times New Roman"/>
          <w:kern w:val="2"/>
        </w:rPr>
        <w:t>64T64R</w:t>
      </w:r>
      <w:r>
        <w:rPr>
          <w:rFonts w:hint="eastAsia" w:cs="Times New Roman"/>
          <w:kern w:val="2"/>
        </w:rPr>
        <w:t>设备，相比</w:t>
      </w:r>
      <w:r>
        <w:rPr>
          <w:rFonts w:cs="Times New Roman"/>
          <w:kern w:val="2"/>
        </w:rPr>
        <w:t>4G</w:t>
      </w:r>
      <w:r>
        <w:rPr>
          <w:rFonts w:hint="eastAsia" w:cs="Times New Roman"/>
          <w:kern w:val="2"/>
        </w:rPr>
        <w:t>网络，提供了超过</w:t>
      </w:r>
      <w:r>
        <w:rPr>
          <w:rFonts w:cs="Times New Roman"/>
          <w:kern w:val="2"/>
        </w:rPr>
        <w:t>60</w:t>
      </w:r>
      <w:r>
        <w:rPr>
          <w:rFonts w:hint="eastAsia" w:cs="Times New Roman"/>
          <w:kern w:val="2"/>
        </w:rPr>
        <w:t>倍小区峰值吞吐率能力，</w:t>
      </w:r>
      <w:r>
        <w:rPr>
          <w:rFonts w:cs="Times New Roman"/>
          <w:kern w:val="2"/>
        </w:rPr>
        <w:t>5G</w:t>
      </w:r>
      <w:r>
        <w:rPr>
          <w:rFonts w:hint="eastAsia" w:cs="Times New Roman"/>
          <w:kern w:val="2"/>
        </w:rPr>
        <w:t>宏站单系统典型功耗达</w:t>
      </w:r>
      <w:r>
        <w:rPr>
          <w:rFonts w:cs="Times New Roman"/>
          <w:kern w:val="2"/>
        </w:rPr>
        <w:t>3</w:t>
      </w:r>
      <w:r>
        <w:rPr>
          <w:rFonts w:hint="eastAsia" w:cs="Times New Roman"/>
          <w:kern w:val="2"/>
        </w:rPr>
        <w:t>～</w:t>
      </w:r>
      <w:r>
        <w:rPr>
          <w:rFonts w:cs="Times New Roman"/>
          <w:kern w:val="2"/>
        </w:rPr>
        <w:t>5kW</w:t>
      </w:r>
      <w:r>
        <w:rPr>
          <w:rFonts w:hint="eastAsia" w:cs="Times New Roman"/>
          <w:kern w:val="2"/>
        </w:rPr>
        <w:t>，是</w:t>
      </w:r>
      <w:r>
        <w:rPr>
          <w:rFonts w:cs="Times New Roman"/>
          <w:kern w:val="2"/>
        </w:rPr>
        <w:t>4G</w:t>
      </w:r>
      <w:r>
        <w:rPr>
          <w:rFonts w:hint="eastAsia" w:cs="Times New Roman"/>
          <w:kern w:val="2"/>
        </w:rPr>
        <w:t>基站的</w:t>
      </w:r>
      <w:r>
        <w:rPr>
          <w:rFonts w:cs="Times New Roman"/>
          <w:kern w:val="2"/>
        </w:rPr>
        <w:t>2.5</w:t>
      </w:r>
      <w:r>
        <w:rPr>
          <w:rFonts w:hint="eastAsia" w:cs="Times New Roman"/>
          <w:kern w:val="2"/>
        </w:rPr>
        <w:t>～</w:t>
      </w:r>
      <w:r>
        <w:rPr>
          <w:rFonts w:cs="Times New Roman"/>
          <w:kern w:val="2"/>
        </w:rPr>
        <w:t>3.5</w:t>
      </w:r>
      <w:r>
        <w:rPr>
          <w:rFonts w:hint="eastAsia" w:cs="Times New Roman"/>
          <w:kern w:val="2"/>
        </w:rPr>
        <w:t>倍，</w:t>
      </w:r>
      <w:r>
        <w:rPr>
          <w:rFonts w:cs="Times New Roman"/>
          <w:kern w:val="2"/>
        </w:rPr>
        <w:t>AAU</w:t>
      </w:r>
      <w:r>
        <w:rPr>
          <w:rFonts w:hint="eastAsia" w:cs="Times New Roman"/>
          <w:kern w:val="2"/>
        </w:rPr>
        <w:t>功耗增加是</w:t>
      </w:r>
      <w:r>
        <w:rPr>
          <w:rFonts w:cs="Times New Roman"/>
          <w:kern w:val="2"/>
        </w:rPr>
        <w:t>5G</w:t>
      </w:r>
      <w:r>
        <w:rPr>
          <w:rFonts w:hint="eastAsia" w:cs="Times New Roman"/>
          <w:kern w:val="2"/>
        </w:rPr>
        <w:t>功耗增加的主要原因。中国铁塔分别比较了华为、中兴通讯、大唐电信三家厂商设备功耗，结果显示，</w:t>
      </w:r>
      <w:r>
        <w:rPr>
          <w:rFonts w:cs="Times New Roman"/>
          <w:kern w:val="2"/>
        </w:rPr>
        <w:t>5G</w:t>
      </w:r>
      <w:r>
        <w:rPr>
          <w:rFonts w:hint="eastAsia" w:cs="Times New Roman"/>
          <w:kern w:val="2"/>
        </w:rPr>
        <w:t>基站典型功耗在</w:t>
      </w:r>
      <w:r>
        <w:rPr>
          <w:rFonts w:cs="Times New Roman"/>
          <w:kern w:val="2"/>
        </w:rPr>
        <w:t>3500</w:t>
      </w:r>
      <w:r>
        <w:rPr>
          <w:rFonts w:hint="eastAsia" w:cs="Times New Roman"/>
          <w:kern w:val="2"/>
        </w:rPr>
        <w:t>瓦左右，而</w:t>
      </w:r>
      <w:r>
        <w:rPr>
          <w:rFonts w:cs="Times New Roman"/>
          <w:kern w:val="2"/>
        </w:rPr>
        <w:t>4G</w:t>
      </w:r>
      <w:r>
        <w:rPr>
          <w:rFonts w:hint="eastAsia" w:cs="Times New Roman"/>
          <w:kern w:val="2"/>
        </w:rPr>
        <w:t>系统典型的功耗仅为</w:t>
      </w:r>
      <w:r>
        <w:rPr>
          <w:rFonts w:cs="Times New Roman"/>
          <w:kern w:val="2"/>
        </w:rPr>
        <w:t>1300</w:t>
      </w:r>
      <w:r>
        <w:rPr>
          <w:rFonts w:hint="eastAsia" w:cs="Times New Roman"/>
          <w:kern w:val="2"/>
        </w:rPr>
        <w:t>瓦左右，需对现网电源、配套设备进行提前扩容。</w:t>
      </w:r>
      <w:r>
        <w:rPr>
          <w:rFonts w:cs="Times New Roman"/>
          <w:kern w:val="2"/>
        </w:rPr>
        <w:t xml:space="preserve"> </w:t>
      </w:r>
    </w:p>
    <w:p>
      <w:pPr>
        <w:widowControl w:val="0"/>
        <w:spacing w:line="360" w:lineRule="auto"/>
        <w:ind w:firstLine="480" w:firstLineChars="200"/>
        <w:jc w:val="both"/>
        <w:rPr>
          <w:rFonts w:cs="Times New Roman"/>
          <w:kern w:val="2"/>
        </w:rPr>
      </w:pPr>
      <w:r>
        <w:rPr>
          <w:rFonts w:hint="eastAsia" w:cs="Times New Roman"/>
          <w:kern w:val="2"/>
        </w:rPr>
        <w:t>由于</w:t>
      </w:r>
      <w:r>
        <w:rPr>
          <w:rFonts w:cs="Times New Roman"/>
          <w:kern w:val="2"/>
        </w:rPr>
        <w:t>5G</w:t>
      </w:r>
      <w:r>
        <w:rPr>
          <w:rFonts w:hint="eastAsia" w:cs="Times New Roman"/>
          <w:kern w:val="2"/>
        </w:rPr>
        <w:t>使用的频段更高，室外宏站覆盖范围缩小。因此，要达到同样覆盖效果，</w:t>
      </w:r>
      <w:r>
        <w:rPr>
          <w:rFonts w:cs="Times New Roman"/>
          <w:kern w:val="2"/>
        </w:rPr>
        <w:t>5G</w:t>
      </w:r>
      <w:r>
        <w:rPr>
          <w:rFonts w:hint="eastAsia" w:cs="Times New Roman"/>
          <w:kern w:val="2"/>
        </w:rPr>
        <w:t>基站数量将是</w:t>
      </w:r>
      <w:r>
        <w:rPr>
          <w:rFonts w:cs="Times New Roman"/>
          <w:kern w:val="2"/>
        </w:rPr>
        <w:t>4G</w:t>
      </w:r>
      <w:r>
        <w:rPr>
          <w:rFonts w:hint="eastAsia" w:cs="Times New Roman"/>
          <w:kern w:val="2"/>
        </w:rPr>
        <w:t>的</w:t>
      </w:r>
      <w:r>
        <w:rPr>
          <w:rFonts w:cs="Times New Roman"/>
          <w:kern w:val="2"/>
        </w:rPr>
        <w:t>3</w:t>
      </w:r>
      <w:r>
        <w:rPr>
          <w:rFonts w:hint="eastAsia" w:cs="Times New Roman"/>
          <w:kern w:val="2"/>
        </w:rPr>
        <w:t>～</w:t>
      </w:r>
      <w:r>
        <w:rPr>
          <w:rFonts w:cs="Times New Roman"/>
          <w:kern w:val="2"/>
        </w:rPr>
        <w:t>4</w:t>
      </w:r>
      <w:r>
        <w:rPr>
          <w:rFonts w:hint="eastAsia" w:cs="Times New Roman"/>
          <w:kern w:val="2"/>
        </w:rPr>
        <w:t>倍。</w:t>
      </w:r>
      <w:r>
        <w:rPr>
          <w:rFonts w:cs="Times New Roman"/>
          <w:kern w:val="2"/>
        </w:rPr>
        <w:t>5G</w:t>
      </w:r>
      <w:r>
        <w:rPr>
          <w:rFonts w:hint="eastAsia" w:cs="Times New Roman"/>
          <w:kern w:val="2"/>
        </w:rPr>
        <w:t>移动网络的整体能耗将是</w:t>
      </w:r>
      <w:r>
        <w:rPr>
          <w:rFonts w:cs="Times New Roman"/>
          <w:kern w:val="2"/>
        </w:rPr>
        <w:t>4G</w:t>
      </w:r>
      <w:r>
        <w:rPr>
          <w:rFonts w:hint="eastAsia" w:cs="Times New Roman"/>
          <w:kern w:val="2"/>
        </w:rPr>
        <w:t>的</w:t>
      </w:r>
      <w:r>
        <w:rPr>
          <w:rFonts w:cs="Times New Roman"/>
          <w:kern w:val="2"/>
        </w:rPr>
        <w:t>9</w:t>
      </w:r>
      <w:r>
        <w:rPr>
          <w:rFonts w:hint="eastAsia" w:cs="Times New Roman"/>
          <w:kern w:val="2"/>
        </w:rPr>
        <w:t>倍以上。</w:t>
      </w:r>
    </w:p>
    <w:p>
      <w:pPr>
        <w:widowControl w:val="0"/>
        <w:spacing w:line="360" w:lineRule="auto"/>
        <w:ind w:firstLine="480" w:firstLineChars="200"/>
        <w:jc w:val="both"/>
        <w:rPr>
          <w:rFonts w:cs="Times New Roman"/>
          <w:kern w:val="2"/>
        </w:rPr>
      </w:pPr>
      <w:r>
        <w:rPr>
          <w:rFonts w:hint="eastAsia" w:cs="Times New Roman"/>
          <w:kern w:val="2"/>
        </w:rPr>
        <w:t>虽然</w:t>
      </w:r>
      <w:r>
        <w:rPr>
          <w:rFonts w:cs="Times New Roman"/>
          <w:kern w:val="2"/>
        </w:rPr>
        <w:t>5G</w:t>
      </w:r>
      <w:r>
        <w:rPr>
          <w:rFonts w:hint="eastAsia" w:cs="Times New Roman"/>
          <w:kern w:val="2"/>
        </w:rPr>
        <w:t>基站的功耗绝对值在增加，但它的能效比肯定是低于</w:t>
      </w:r>
      <w:r>
        <w:rPr>
          <w:rFonts w:cs="Times New Roman"/>
          <w:kern w:val="2"/>
        </w:rPr>
        <w:t>4G</w:t>
      </w:r>
      <w:r>
        <w:rPr>
          <w:rFonts w:hint="eastAsia" w:cs="Times New Roman"/>
          <w:kern w:val="2"/>
        </w:rPr>
        <w:t>的。也就是说，在功耗相同的情况下，</w:t>
      </w:r>
      <w:r>
        <w:rPr>
          <w:rFonts w:cs="Times New Roman"/>
          <w:kern w:val="2"/>
        </w:rPr>
        <w:t>5G</w:t>
      </w:r>
      <w:r>
        <w:rPr>
          <w:rFonts w:hint="eastAsia" w:cs="Times New Roman"/>
          <w:kern w:val="2"/>
        </w:rPr>
        <w:t>的网络容量将是</w:t>
      </w:r>
      <w:r>
        <w:rPr>
          <w:rFonts w:cs="Times New Roman"/>
          <w:kern w:val="2"/>
        </w:rPr>
        <w:t>4G</w:t>
      </w:r>
      <w:r>
        <w:rPr>
          <w:rFonts w:hint="eastAsia" w:cs="Times New Roman"/>
          <w:kern w:val="2"/>
        </w:rPr>
        <w:t>的几十倍，每</w:t>
      </w:r>
      <w:r>
        <w:rPr>
          <w:rFonts w:cs="Times New Roman"/>
          <w:kern w:val="2"/>
        </w:rPr>
        <w:t>bit</w:t>
      </w:r>
      <w:r>
        <w:rPr>
          <w:rFonts w:hint="eastAsia" w:cs="Times New Roman"/>
          <w:kern w:val="2"/>
        </w:rPr>
        <w:t>的耗电量是大幅下降的。</w:t>
      </w:r>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基站下，每</w:t>
      </w:r>
      <w:r>
        <w:rPr>
          <w:rFonts w:cs="Times New Roman"/>
          <w:kern w:val="2"/>
        </w:rPr>
        <w:t>1</w:t>
      </w:r>
      <w:r>
        <w:rPr>
          <w:rFonts w:hint="eastAsia" w:cs="Times New Roman"/>
          <w:kern w:val="2"/>
        </w:rPr>
        <w:t>度电可以下载</w:t>
      </w:r>
      <w:r>
        <w:rPr>
          <w:rFonts w:cs="Times New Roman"/>
          <w:kern w:val="2"/>
        </w:rPr>
        <w:t>5000</w:t>
      </w:r>
      <w:r>
        <w:rPr>
          <w:rFonts w:hint="eastAsia" w:cs="Times New Roman"/>
          <w:kern w:val="2"/>
        </w:rPr>
        <w:t>多部超清电影。而在</w:t>
      </w:r>
      <w:r>
        <w:rPr>
          <w:rFonts w:cs="Times New Roman"/>
          <w:kern w:val="2"/>
        </w:rPr>
        <w:t>4G</w:t>
      </w:r>
      <w:r>
        <w:rPr>
          <w:rFonts w:hint="eastAsia" w:cs="Times New Roman"/>
          <w:kern w:val="2"/>
        </w:rPr>
        <w:t>时代，同样的电量仅能下载不到</w:t>
      </w:r>
      <w:r>
        <w:rPr>
          <w:rFonts w:cs="Times New Roman"/>
          <w:kern w:val="2"/>
        </w:rPr>
        <w:t>200</w:t>
      </w:r>
      <w:r>
        <w:rPr>
          <w:rFonts w:hint="eastAsia" w:cs="Times New Roman"/>
          <w:kern w:val="2"/>
        </w:rPr>
        <w:t>部。</w:t>
      </w:r>
    </w:p>
    <w:p>
      <w:pPr>
        <w:widowControl w:val="0"/>
        <w:spacing w:line="360" w:lineRule="auto"/>
        <w:ind w:firstLine="480" w:firstLineChars="200"/>
        <w:jc w:val="both"/>
        <w:rPr>
          <w:rFonts w:cs="Times New Roman"/>
          <w:kern w:val="2"/>
        </w:rPr>
      </w:pPr>
      <w:r>
        <w:rPr>
          <w:rFonts w:hint="eastAsia" w:cs="Times New Roman"/>
          <w:kern w:val="2"/>
        </w:rPr>
        <w:t>厂家设备功耗平均值（最新外场测试结果）：</w:t>
      </w:r>
      <w:r>
        <w:rPr>
          <w:rFonts w:cs="Times New Roman"/>
          <w:kern w:val="2"/>
        </w:rPr>
        <w:fldChar w:fldCharType="begin"/>
      </w:r>
      <w:r>
        <w:rPr>
          <w:rFonts w:cs="Times New Roman"/>
          <w:kern w:val="2"/>
        </w:rPr>
        <w:instrText xml:space="preserve"> LINK Excel.Sheet.12 "D:\\</w:instrText>
      </w:r>
      <w:r>
        <w:rPr>
          <w:rFonts w:hint="eastAsia" w:cs="Times New Roman"/>
          <w:kern w:val="2"/>
        </w:rPr>
        <w:instrText xml:space="preserve">工作资料</w:instrText>
      </w:r>
      <w:r>
        <w:rPr>
          <w:rFonts w:cs="Times New Roman"/>
          <w:kern w:val="2"/>
        </w:rPr>
        <w:instrText xml:space="preserve">\\</w:instrText>
      </w:r>
      <w:r>
        <w:rPr>
          <w:rFonts w:hint="eastAsia" w:cs="Times New Roman"/>
          <w:kern w:val="2"/>
        </w:rPr>
        <w:instrText xml:space="preserve">重庆铁塔综合支撑</w:instrText>
      </w:r>
      <w:r>
        <w:rPr>
          <w:rFonts w:cs="Times New Roman"/>
          <w:kern w:val="2"/>
        </w:rPr>
        <w:instrText xml:space="preserve">\\</w:instrText>
      </w:r>
      <w:r>
        <w:rPr>
          <w:rFonts w:hint="eastAsia" w:cs="Times New Roman"/>
          <w:kern w:val="2"/>
        </w:rPr>
        <w:instrText xml:space="preserve">重庆铁塔市公司资料</w:instrText>
      </w:r>
      <w:r>
        <w:rPr>
          <w:rFonts w:cs="Times New Roman"/>
          <w:kern w:val="2"/>
        </w:rPr>
        <w:instrText xml:space="preserve">\\</w:instrText>
      </w:r>
      <w:r>
        <w:rPr>
          <w:rFonts w:hint="eastAsia" w:cs="Times New Roman"/>
          <w:kern w:val="2"/>
        </w:rPr>
        <w:instrText xml:space="preserve">铁塔规划材料</w:instrText>
      </w:r>
      <w:r>
        <w:rPr>
          <w:rFonts w:cs="Times New Roman"/>
          <w:kern w:val="2"/>
        </w:rPr>
        <w:instrText xml:space="preserve">\\</w:instrText>
      </w:r>
      <w:r>
        <w:rPr>
          <w:rFonts w:hint="eastAsia" w:cs="Times New Roman"/>
          <w:kern w:val="2"/>
        </w:rPr>
        <w:instrText xml:space="preserve">基础设施规划</w:instrText>
      </w:r>
      <w:r>
        <w:rPr>
          <w:rFonts w:cs="Times New Roman"/>
          <w:kern w:val="2"/>
        </w:rPr>
        <w:instrText xml:space="preserve">-</w:instrText>
      </w:r>
      <w:r>
        <w:rPr>
          <w:rFonts w:hint="eastAsia" w:cs="Times New Roman"/>
          <w:kern w:val="2"/>
        </w:rPr>
        <w:instrText xml:space="preserve">杰赛院</w:instrText>
      </w:r>
      <w:r>
        <w:rPr>
          <w:rFonts w:cs="Times New Roman"/>
          <w:kern w:val="2"/>
        </w:rPr>
        <w:instrText xml:space="preserve">\\</w:instrText>
      </w:r>
      <w:r>
        <w:rPr>
          <w:rFonts w:hint="eastAsia" w:cs="Times New Roman"/>
          <w:kern w:val="2"/>
        </w:rPr>
        <w:instrText xml:space="preserve">万州规划</w:instrText>
      </w:r>
      <w:r>
        <w:rPr>
          <w:rFonts w:cs="Times New Roman"/>
          <w:kern w:val="2"/>
        </w:rPr>
        <w:instrText xml:space="preserve">\\</w:instrText>
      </w:r>
      <w:r>
        <w:rPr>
          <w:rFonts w:hint="eastAsia" w:cs="Times New Roman"/>
          <w:kern w:val="2"/>
        </w:rPr>
        <w:instrText xml:space="preserve">规划站址清单</w:instrText>
      </w:r>
      <w:r>
        <w:rPr>
          <w:rFonts w:cs="Times New Roman"/>
          <w:kern w:val="2"/>
        </w:rPr>
        <w:instrText xml:space="preserve">\\</w:instrText>
      </w:r>
      <w:r>
        <w:rPr>
          <w:rFonts w:hint="eastAsia" w:cs="Times New Roman"/>
          <w:kern w:val="2"/>
        </w:rPr>
        <w:instrText xml:space="preserve">小万州</w:instrText>
      </w:r>
      <w:r>
        <w:rPr>
          <w:rFonts w:cs="Times New Roman"/>
          <w:kern w:val="2"/>
        </w:rPr>
        <w:instrText xml:space="preserve">5G</w:instrText>
      </w:r>
      <w:r>
        <w:rPr>
          <w:rFonts w:hint="eastAsia" w:cs="Times New Roman"/>
          <w:kern w:val="2"/>
        </w:rPr>
        <w:instrText xml:space="preserve">规划新建明细</w:instrText>
      </w:r>
      <w:r>
        <w:rPr>
          <w:rFonts w:cs="Times New Roman"/>
          <w:kern w:val="2"/>
        </w:rPr>
        <w:instrText xml:space="preserve">-1025</w:instrText>
      </w:r>
      <w:r>
        <w:rPr>
          <w:rFonts w:hint="eastAsia" w:cs="Times New Roman"/>
          <w:kern w:val="2"/>
        </w:rPr>
        <w:instrText xml:space="preserve">个</w:instrText>
      </w:r>
      <w:r>
        <w:rPr>
          <w:rFonts w:cs="Times New Roman"/>
          <w:kern w:val="2"/>
        </w:rPr>
        <w:instrText xml:space="preserve">.xlsx" "Sheet5!R2C2:R8C4" \a \f 4 \h  \* MERGEFORMAT </w:instrText>
      </w:r>
      <w:r>
        <w:rPr>
          <w:rFonts w:cs="Times New Roman"/>
          <w:kern w:val="2"/>
        </w:rPr>
        <w:fldChar w:fldCharType="separate"/>
      </w:r>
    </w:p>
    <w:tbl>
      <w:tblPr>
        <w:tblStyle w:val="30"/>
        <w:tblW w:w="9248" w:type="dxa"/>
        <w:tblInd w:w="0" w:type="dxa"/>
        <w:tblLayout w:type="autofit"/>
        <w:tblCellMar>
          <w:top w:w="0" w:type="dxa"/>
          <w:left w:w="108" w:type="dxa"/>
          <w:bottom w:w="0" w:type="dxa"/>
          <w:right w:w="108" w:type="dxa"/>
        </w:tblCellMar>
      </w:tblPr>
      <w:tblGrid>
        <w:gridCol w:w="2007"/>
        <w:gridCol w:w="3659"/>
        <w:gridCol w:w="3582"/>
      </w:tblGrid>
      <w:tr>
        <w:tblPrEx>
          <w:tblCellMar>
            <w:top w:w="0" w:type="dxa"/>
            <w:left w:w="108" w:type="dxa"/>
            <w:bottom w:w="0" w:type="dxa"/>
            <w:right w:w="108" w:type="dxa"/>
          </w:tblCellMar>
        </w:tblPrEx>
        <w:trPr>
          <w:trHeight w:val="402" w:hRule="atLeast"/>
        </w:trPr>
        <w:tc>
          <w:tcPr>
            <w:tcW w:w="2007" w:type="dxa"/>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hint="eastAsia" w:cs="Times New Roman"/>
                <w:kern w:val="2"/>
              </w:rPr>
              <w:t>业务负荷</w:t>
            </w:r>
          </w:p>
        </w:tc>
        <w:tc>
          <w:tcPr>
            <w:tcW w:w="3659" w:type="dxa"/>
            <w:tcBorders>
              <w:top w:val="single" w:color="auto" w:sz="4" w:space="0"/>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AAU</w:t>
            </w:r>
            <w:r>
              <w:rPr>
                <w:rFonts w:hint="eastAsia" w:cs="Times New Roman"/>
                <w:kern w:val="2"/>
              </w:rPr>
              <w:t>平均功耗（单位：</w:t>
            </w:r>
            <w:r>
              <w:rPr>
                <w:rFonts w:cs="Times New Roman"/>
                <w:kern w:val="2"/>
              </w:rPr>
              <w:t>W</w:t>
            </w:r>
            <w:r>
              <w:rPr>
                <w:rFonts w:hint="eastAsia" w:cs="Times New Roman"/>
                <w:kern w:val="2"/>
              </w:rPr>
              <w:t>）</w:t>
            </w:r>
          </w:p>
        </w:tc>
        <w:tc>
          <w:tcPr>
            <w:tcW w:w="3582" w:type="dxa"/>
            <w:tcBorders>
              <w:top w:val="single" w:color="auto" w:sz="4" w:space="0"/>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BBU</w:t>
            </w:r>
            <w:r>
              <w:rPr>
                <w:rFonts w:hint="eastAsia" w:cs="Times New Roman"/>
                <w:kern w:val="2"/>
              </w:rPr>
              <w:t>平均功耗（单位：</w:t>
            </w:r>
            <w:r>
              <w:rPr>
                <w:rFonts w:cs="Times New Roman"/>
                <w:kern w:val="2"/>
              </w:rPr>
              <w:t>W</w:t>
            </w:r>
            <w:r>
              <w:rPr>
                <w:rFonts w:hint="eastAsia" w:cs="Times New Roman"/>
                <w:kern w:val="2"/>
              </w:rPr>
              <w:t>）</w:t>
            </w:r>
          </w:p>
        </w:tc>
      </w:tr>
      <w:tr>
        <w:tblPrEx>
          <w:tblCellMar>
            <w:top w:w="0" w:type="dxa"/>
            <w:left w:w="108" w:type="dxa"/>
            <w:bottom w:w="0" w:type="dxa"/>
            <w:right w:w="108" w:type="dxa"/>
          </w:tblCellMar>
        </w:tblPrEx>
        <w:trPr>
          <w:trHeight w:val="402" w:hRule="atLeast"/>
        </w:trPr>
        <w:tc>
          <w:tcPr>
            <w:tcW w:w="2007"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100%</w:t>
            </w:r>
          </w:p>
        </w:tc>
        <w:tc>
          <w:tcPr>
            <w:tcW w:w="3659"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1127</w:t>
            </w:r>
          </w:p>
        </w:tc>
        <w:tc>
          <w:tcPr>
            <w:tcW w:w="3582"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402" w:hRule="atLeast"/>
        </w:trPr>
        <w:tc>
          <w:tcPr>
            <w:tcW w:w="2007"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50%</w:t>
            </w:r>
          </w:p>
        </w:tc>
        <w:tc>
          <w:tcPr>
            <w:tcW w:w="3659"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892</w:t>
            </w:r>
          </w:p>
        </w:tc>
        <w:tc>
          <w:tcPr>
            <w:tcW w:w="3582"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402" w:hRule="atLeast"/>
        </w:trPr>
        <w:tc>
          <w:tcPr>
            <w:tcW w:w="2007"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30%</w:t>
            </w:r>
          </w:p>
        </w:tc>
        <w:tc>
          <w:tcPr>
            <w:tcW w:w="3659"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762</w:t>
            </w:r>
          </w:p>
        </w:tc>
        <w:tc>
          <w:tcPr>
            <w:tcW w:w="3582"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402" w:hRule="atLeast"/>
        </w:trPr>
        <w:tc>
          <w:tcPr>
            <w:tcW w:w="2007"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20%</w:t>
            </w:r>
          </w:p>
        </w:tc>
        <w:tc>
          <w:tcPr>
            <w:tcW w:w="3659"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733</w:t>
            </w:r>
          </w:p>
        </w:tc>
        <w:tc>
          <w:tcPr>
            <w:tcW w:w="3582"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402" w:hRule="atLeast"/>
        </w:trPr>
        <w:tc>
          <w:tcPr>
            <w:tcW w:w="2007"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10%</w:t>
            </w:r>
          </w:p>
        </w:tc>
        <w:tc>
          <w:tcPr>
            <w:tcW w:w="3659"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699</w:t>
            </w:r>
          </w:p>
        </w:tc>
        <w:tc>
          <w:tcPr>
            <w:tcW w:w="3582"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402" w:hRule="atLeast"/>
        </w:trPr>
        <w:tc>
          <w:tcPr>
            <w:tcW w:w="2007"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hint="eastAsia" w:cs="Times New Roman"/>
                <w:kern w:val="2"/>
              </w:rPr>
              <w:t>空载</w:t>
            </w:r>
          </w:p>
        </w:tc>
        <w:tc>
          <w:tcPr>
            <w:tcW w:w="3659"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633</w:t>
            </w:r>
          </w:p>
        </w:tc>
        <w:tc>
          <w:tcPr>
            <w:tcW w:w="3582"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bl>
    <w:p>
      <w:pPr>
        <w:widowControl w:val="0"/>
        <w:spacing w:line="360" w:lineRule="auto"/>
        <w:ind w:firstLine="480" w:firstLineChars="200"/>
        <w:jc w:val="both"/>
        <w:rPr>
          <w:rFonts w:cs="Times New Roman"/>
          <w:kern w:val="2"/>
        </w:rPr>
      </w:pPr>
      <w:r>
        <w:rPr>
          <w:rFonts w:cs="Times New Roman"/>
          <w:kern w:val="2"/>
        </w:rPr>
        <w:fldChar w:fldCharType="end"/>
      </w:r>
      <w:r>
        <w:rPr>
          <w:rFonts w:hint="eastAsia" w:cs="Times New Roman"/>
          <w:kern w:val="2"/>
        </w:rPr>
        <w:t>注：</w:t>
      </w:r>
      <w:r>
        <w:rPr>
          <w:rFonts w:cs="Times New Roman"/>
          <w:kern w:val="2"/>
        </w:rPr>
        <w:t>BBU</w:t>
      </w:r>
      <w:r>
        <w:rPr>
          <w:rFonts w:hint="eastAsia" w:cs="Times New Roman"/>
          <w:kern w:val="2"/>
        </w:rPr>
        <w:t>功耗与</w:t>
      </w:r>
      <w:r>
        <w:rPr>
          <w:rFonts w:cs="Times New Roman"/>
          <w:kern w:val="2"/>
        </w:rPr>
        <w:t>AAU</w:t>
      </w:r>
      <w:r>
        <w:rPr>
          <w:rFonts w:hint="eastAsia" w:cs="Times New Roman"/>
          <w:kern w:val="2"/>
        </w:rPr>
        <w:t>连接数紧密相关，上表测试为</w:t>
      </w:r>
      <w:r>
        <w:rPr>
          <w:rFonts w:cs="Times New Roman"/>
          <w:kern w:val="2"/>
        </w:rPr>
        <w:t>1</w:t>
      </w:r>
      <w:r>
        <w:rPr>
          <w:rFonts w:hint="eastAsia" w:cs="Times New Roman"/>
          <w:kern w:val="2"/>
        </w:rPr>
        <w:t>个</w:t>
      </w:r>
      <w:r>
        <w:rPr>
          <w:rFonts w:cs="Times New Roman"/>
          <w:kern w:val="2"/>
        </w:rPr>
        <w:t>BBU+3</w:t>
      </w:r>
      <w:r>
        <w:rPr>
          <w:rFonts w:hint="eastAsia" w:cs="Times New Roman"/>
          <w:kern w:val="2"/>
        </w:rPr>
        <w:t>个</w:t>
      </w:r>
      <w:r>
        <w:rPr>
          <w:rFonts w:cs="Times New Roman"/>
          <w:kern w:val="2"/>
        </w:rPr>
        <w:t>AAU</w:t>
      </w:r>
      <w:r>
        <w:rPr>
          <w:rFonts w:hint="eastAsia" w:cs="Times New Roman"/>
          <w:kern w:val="2"/>
        </w:rPr>
        <w:t>场景</w:t>
      </w:r>
      <w:r>
        <w:rPr>
          <w:rFonts w:cs="Times New Roman"/>
          <w:kern w:val="2"/>
        </w:rPr>
        <w:br w:type="page"/>
      </w:r>
    </w:p>
    <w:p>
      <w:pPr>
        <w:pStyle w:val="2"/>
      </w:pPr>
      <w:bookmarkStart w:id="99" w:name="_Toc55386034"/>
      <w:bookmarkStart w:id="100" w:name="_Toc56092727"/>
      <w:r>
        <w:t>5G</w:t>
      </w:r>
      <w:r>
        <w:rPr>
          <w:rFonts w:hint="eastAsia"/>
        </w:rPr>
        <w:t>通信基站与干扰协调</w:t>
      </w:r>
      <w:bookmarkEnd w:id="99"/>
      <w:bookmarkEnd w:id="100"/>
    </w:p>
    <w:p>
      <w:pPr>
        <w:pStyle w:val="3"/>
        <w:numPr>
          <w:ilvl w:val="0"/>
          <w:numId w:val="25"/>
        </w:numPr>
      </w:pPr>
      <w:bookmarkStart w:id="101" w:name="_Toc55386035"/>
      <w:bookmarkStart w:id="102" w:name="_Toc56092728"/>
      <w:r>
        <w:t xml:space="preserve">5G </w:t>
      </w:r>
      <w:r>
        <w:rPr>
          <w:rFonts w:hint="eastAsia"/>
        </w:rPr>
        <w:t>基站与卫星地球站干扰</w:t>
      </w:r>
      <w:bookmarkEnd w:id="101"/>
      <w:bookmarkEnd w:id="102"/>
    </w:p>
    <w:p>
      <w:pPr>
        <w:widowControl w:val="0"/>
        <w:spacing w:line="360" w:lineRule="auto"/>
        <w:ind w:firstLine="480" w:firstLineChars="200"/>
        <w:jc w:val="both"/>
        <w:rPr>
          <w:rFonts w:cs="Times New Roman"/>
          <w:kern w:val="2"/>
        </w:rPr>
      </w:pPr>
      <w:r>
        <w:rPr>
          <w:rFonts w:hint="eastAsia" w:cs="Times New Roman"/>
          <w:kern w:val="2"/>
        </w:rPr>
        <w:t>根据国际电联</w:t>
      </w:r>
      <w:r>
        <w:rPr>
          <w:rFonts w:cs="Times New Roman"/>
          <w:kern w:val="2"/>
        </w:rPr>
        <w:t>ITU-RS.1432-1</w:t>
      </w:r>
      <w:r>
        <w:rPr>
          <w:rFonts w:hint="eastAsia" w:cs="Times New Roman"/>
          <w:kern w:val="2"/>
        </w:rPr>
        <w:t>建议书，在卫星地球站（含卫星测控站、卫星监测站）工作频段及其相邻频段，干扰信号限值为晴空条件下卫星地球站接收系统噪声功率减</w:t>
      </w:r>
      <w:r>
        <w:rPr>
          <w:rFonts w:cs="Times New Roman"/>
          <w:kern w:val="2"/>
        </w:rPr>
        <w:t>12dB</w:t>
      </w:r>
      <w:r>
        <w:rPr>
          <w:rFonts w:hint="eastAsia" w:cs="Times New Roman"/>
          <w:kern w:val="2"/>
        </w:rPr>
        <w:t>，超过该限值的干扰信号将可能对卫星地球站造成有害干扰。</w:t>
      </w:r>
    </w:p>
    <w:p>
      <w:pPr>
        <w:widowControl w:val="0"/>
        <w:spacing w:line="360" w:lineRule="auto"/>
        <w:ind w:firstLine="480" w:firstLineChars="200"/>
        <w:jc w:val="both"/>
        <w:rPr>
          <w:rFonts w:cs="Times New Roman"/>
          <w:kern w:val="2"/>
        </w:rPr>
      </w:pPr>
      <w:r>
        <w:rPr>
          <w:rFonts w:hint="eastAsia" w:cs="Times New Roman"/>
          <w:kern w:val="2"/>
        </w:rPr>
        <w:t>根据国际电联</w:t>
      </w:r>
      <w:r>
        <w:rPr>
          <w:rFonts w:cs="Times New Roman"/>
          <w:kern w:val="2"/>
        </w:rPr>
        <w:t>ITU-RS.2199-0</w:t>
      </w:r>
      <w:r>
        <w:rPr>
          <w:rFonts w:hint="eastAsia" w:cs="Times New Roman"/>
          <w:kern w:val="2"/>
        </w:rPr>
        <w:t>报告，当卫星地球站接收到的干扰信号总功率超过</w:t>
      </w:r>
      <w:r>
        <w:rPr>
          <w:rFonts w:cs="Times New Roman"/>
          <w:kern w:val="2"/>
        </w:rPr>
        <w:t>-60dBm</w:t>
      </w:r>
      <w:r>
        <w:rPr>
          <w:rFonts w:hint="eastAsia" w:cs="Times New Roman"/>
          <w:kern w:val="2"/>
        </w:rPr>
        <w:t>时，将产生饱和干扰，导致卫星地球站无法正常工作。</w:t>
      </w:r>
    </w:p>
    <w:p>
      <w:pPr>
        <w:widowControl w:val="0"/>
        <w:spacing w:line="360" w:lineRule="auto"/>
        <w:ind w:firstLine="480" w:firstLineChars="200"/>
        <w:jc w:val="both"/>
        <w:rPr>
          <w:rFonts w:cs="Times New Roman"/>
          <w:kern w:val="2"/>
        </w:rPr>
      </w:pPr>
      <w:r>
        <w:rPr>
          <w:rFonts w:cs="Times New Roman"/>
          <w:kern w:val="2"/>
        </w:rPr>
        <w:t>1.</w:t>
      </w:r>
      <w:r>
        <w:rPr>
          <w:rFonts w:hint="eastAsia" w:cs="Times New Roman"/>
          <w:kern w:val="2"/>
        </w:rPr>
        <w:t>干扰协调区</w:t>
      </w:r>
    </w:p>
    <w:p>
      <w:pPr>
        <w:widowControl w:val="0"/>
        <w:spacing w:line="360" w:lineRule="auto"/>
        <w:ind w:firstLine="480" w:firstLineChars="200"/>
        <w:jc w:val="both"/>
        <w:rPr>
          <w:rFonts w:cs="Times New Roman"/>
          <w:kern w:val="2"/>
        </w:rPr>
      </w:pPr>
      <w:r>
        <w:rPr>
          <w:rFonts w:hint="eastAsia" w:cs="Times New Roman"/>
          <w:kern w:val="2"/>
        </w:rPr>
        <w:t>干扰协调区是指以卫星地球站为中心一定范围内的地理区域，在此区域内设置、使用</w:t>
      </w:r>
      <w:r>
        <w:rPr>
          <w:rFonts w:cs="Times New Roman"/>
          <w:kern w:val="2"/>
        </w:rPr>
        <w:t>3300</w:t>
      </w:r>
      <w:r>
        <w:rPr>
          <w:rFonts w:hint="eastAsia" w:cs="Times New Roman"/>
          <w:kern w:val="2"/>
        </w:rPr>
        <w:t>～</w:t>
      </w:r>
      <w:r>
        <w:rPr>
          <w:rFonts w:cs="Times New Roman"/>
          <w:kern w:val="2"/>
        </w:rPr>
        <w:t>3600</w:t>
      </w:r>
      <w:r>
        <w:rPr>
          <w:rFonts w:hint="eastAsia" w:cs="Times New Roman"/>
          <w:kern w:val="2"/>
        </w:rPr>
        <w:t>和</w:t>
      </w:r>
      <w:r>
        <w:rPr>
          <w:rFonts w:cs="Times New Roman"/>
          <w:kern w:val="2"/>
        </w:rPr>
        <w:t>4800</w:t>
      </w:r>
      <w:r>
        <w:rPr>
          <w:rFonts w:hint="eastAsia" w:cs="Times New Roman"/>
          <w:kern w:val="2"/>
        </w:rPr>
        <w:t>～</w:t>
      </w:r>
      <w:r>
        <w:rPr>
          <w:rFonts w:cs="Times New Roman"/>
          <w:kern w:val="2"/>
        </w:rPr>
        <w:t>5000MHz</w:t>
      </w:r>
      <w:r>
        <w:rPr>
          <w:rFonts w:hint="eastAsia" w:cs="Times New Roman"/>
          <w:kern w:val="2"/>
        </w:rPr>
        <w:t>频段的</w:t>
      </w:r>
      <w:r>
        <w:rPr>
          <w:rFonts w:cs="Times New Roman"/>
          <w:kern w:val="2"/>
        </w:rPr>
        <w:t>5G</w:t>
      </w:r>
      <w:r>
        <w:rPr>
          <w:rFonts w:hint="eastAsia" w:cs="Times New Roman"/>
          <w:kern w:val="2"/>
        </w:rPr>
        <w:t>基站，应与卫星地球站进行干扰协调，以避免对合法使用的卫星地球站造成有害干扰。</w:t>
      </w:r>
    </w:p>
    <w:p>
      <w:pPr>
        <w:widowControl w:val="0"/>
        <w:spacing w:line="360" w:lineRule="auto"/>
        <w:ind w:firstLine="480" w:firstLineChars="200"/>
        <w:jc w:val="both"/>
        <w:rPr>
          <w:rFonts w:cs="Times New Roman"/>
          <w:kern w:val="2"/>
        </w:rPr>
      </w:pPr>
      <w:r>
        <w:rPr>
          <w:rFonts w:hint="eastAsia" w:cs="Times New Roman"/>
          <w:kern w:val="2"/>
        </w:rPr>
        <w:t>实际中应根据当地地形地貌等特性和实际测试确定干扰协调区域。根据理论计算，原则上干扰协调区的范围如下：</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频段的卫星地球站，工作在相同频段内的室外</w:t>
      </w:r>
      <w:r>
        <w:rPr>
          <w:rFonts w:cs="Times New Roman"/>
          <w:kern w:val="2"/>
        </w:rPr>
        <w:t>5G</w:t>
      </w:r>
      <w:r>
        <w:rPr>
          <w:rFonts w:hint="eastAsia" w:cs="Times New Roman"/>
          <w:kern w:val="2"/>
        </w:rPr>
        <w:t>基站的协调区为以卫星地球站为中心、半径</w:t>
      </w:r>
      <w:r>
        <w:rPr>
          <w:rFonts w:cs="Times New Roman"/>
          <w:kern w:val="2"/>
        </w:rPr>
        <w:t>42.5</w:t>
      </w:r>
      <w:r>
        <w:rPr>
          <w:rFonts w:hint="eastAsia" w:cs="Times New Roman"/>
          <w:kern w:val="2"/>
        </w:rPr>
        <w:t>公里的圆形区域；工作在相同频段内的室内</w:t>
      </w:r>
      <w:r>
        <w:rPr>
          <w:rFonts w:cs="Times New Roman"/>
          <w:kern w:val="2"/>
        </w:rPr>
        <w:t>5G</w:t>
      </w:r>
      <w:r>
        <w:rPr>
          <w:rFonts w:hint="eastAsia" w:cs="Times New Roman"/>
          <w:kern w:val="2"/>
        </w:rPr>
        <w:t>基站的协调区为以卫星地球站为中心、半径</w:t>
      </w:r>
      <w:r>
        <w:rPr>
          <w:rFonts w:cs="Times New Roman"/>
          <w:kern w:val="2"/>
        </w:rPr>
        <w:t>1</w:t>
      </w:r>
      <w:r>
        <w:rPr>
          <w:rFonts w:hint="eastAsia" w:cs="Times New Roman"/>
          <w:kern w:val="2"/>
        </w:rPr>
        <w:t>公里的圆形区域；</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3600</w:t>
      </w:r>
      <w:r>
        <w:rPr>
          <w:rFonts w:hint="eastAsia" w:cs="Times New Roman"/>
          <w:kern w:val="2"/>
        </w:rPr>
        <w:t>～</w:t>
      </w:r>
      <w:r>
        <w:rPr>
          <w:rFonts w:cs="Times New Roman"/>
          <w:kern w:val="2"/>
        </w:rPr>
        <w:t>3700MHz</w:t>
      </w:r>
      <w:r>
        <w:rPr>
          <w:rFonts w:hint="eastAsia" w:cs="Times New Roman"/>
          <w:kern w:val="2"/>
        </w:rPr>
        <w:t>频段的卫星地球站，工作在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频段内的室外</w:t>
      </w:r>
      <w:r>
        <w:rPr>
          <w:rFonts w:cs="Times New Roman"/>
          <w:kern w:val="2"/>
        </w:rPr>
        <w:t>5G</w:t>
      </w:r>
      <w:r>
        <w:rPr>
          <w:rFonts w:hint="eastAsia" w:cs="Times New Roman"/>
          <w:kern w:val="2"/>
        </w:rPr>
        <w:t>基站的协调区为以卫星地球站为中心、半径</w:t>
      </w:r>
      <w:r>
        <w:rPr>
          <w:rFonts w:cs="Times New Roman"/>
          <w:kern w:val="2"/>
        </w:rPr>
        <w:t>4</w:t>
      </w:r>
      <w:r>
        <w:rPr>
          <w:rFonts w:hint="eastAsia" w:cs="Times New Roman"/>
          <w:kern w:val="2"/>
        </w:rPr>
        <w:t>公里的圆形区域；工作在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频段内的室内</w:t>
      </w:r>
      <w:r>
        <w:rPr>
          <w:rFonts w:cs="Times New Roman"/>
          <w:kern w:val="2"/>
        </w:rPr>
        <w:t>5G</w:t>
      </w:r>
      <w:r>
        <w:rPr>
          <w:rFonts w:hint="eastAsia" w:cs="Times New Roman"/>
          <w:kern w:val="2"/>
        </w:rPr>
        <w:t>基站的协调区为以卫星地球站为中心、半径</w:t>
      </w:r>
      <w:r>
        <w:rPr>
          <w:rFonts w:cs="Times New Roman"/>
          <w:kern w:val="2"/>
        </w:rPr>
        <w:t>50</w:t>
      </w:r>
      <w:r>
        <w:rPr>
          <w:rFonts w:hint="eastAsia" w:cs="Times New Roman"/>
          <w:kern w:val="2"/>
        </w:rPr>
        <w:t>米的圆形区域；</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3700</w:t>
      </w:r>
      <w:r>
        <w:rPr>
          <w:rFonts w:hint="eastAsia" w:cs="Times New Roman"/>
          <w:kern w:val="2"/>
        </w:rPr>
        <w:t>～</w:t>
      </w:r>
      <w:r>
        <w:rPr>
          <w:rFonts w:cs="Times New Roman"/>
          <w:kern w:val="2"/>
        </w:rPr>
        <w:t>4200MHz</w:t>
      </w:r>
      <w:r>
        <w:rPr>
          <w:rFonts w:hint="eastAsia" w:cs="Times New Roman"/>
          <w:kern w:val="2"/>
        </w:rPr>
        <w:t>频段的卫星地球站，如果卫星地球站已采用滤波和抗饱和措施且指标满足附件</w:t>
      </w:r>
      <w:r>
        <w:rPr>
          <w:rFonts w:cs="Times New Roman"/>
          <w:kern w:val="2"/>
        </w:rPr>
        <w:t>4</w:t>
      </w:r>
      <w:r>
        <w:rPr>
          <w:rFonts w:hint="eastAsia" w:cs="Times New Roman"/>
          <w:kern w:val="2"/>
        </w:rPr>
        <w:t>的要求，工作在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频段内的室外</w:t>
      </w:r>
      <w:r>
        <w:rPr>
          <w:rFonts w:cs="Times New Roman"/>
          <w:kern w:val="2"/>
        </w:rPr>
        <w:t>5G</w:t>
      </w:r>
      <w:r>
        <w:rPr>
          <w:rFonts w:hint="eastAsia" w:cs="Times New Roman"/>
          <w:kern w:val="2"/>
        </w:rPr>
        <w:t>基站的协调区可减小为以卫星地球站为中心、半径</w:t>
      </w:r>
      <w:r>
        <w:rPr>
          <w:rFonts w:cs="Times New Roman"/>
          <w:kern w:val="2"/>
        </w:rPr>
        <w:t>100</w:t>
      </w:r>
      <w:r>
        <w:rPr>
          <w:rFonts w:hint="eastAsia" w:cs="Times New Roman"/>
          <w:kern w:val="2"/>
        </w:rPr>
        <w:t>米的圆形区域，否则协调区为以卫星地球站为中心、半径</w:t>
      </w:r>
      <w:r>
        <w:rPr>
          <w:rFonts w:cs="Times New Roman"/>
          <w:kern w:val="2"/>
        </w:rPr>
        <w:t>2</w:t>
      </w:r>
      <w:r>
        <w:rPr>
          <w:rFonts w:hint="eastAsia" w:cs="Times New Roman"/>
          <w:kern w:val="2"/>
        </w:rPr>
        <w:t>公里的圆形区域；</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4500</w:t>
      </w:r>
      <w:r>
        <w:rPr>
          <w:rFonts w:hint="eastAsia" w:cs="Times New Roman"/>
          <w:kern w:val="2"/>
        </w:rPr>
        <w:t>～</w:t>
      </w:r>
      <w:r>
        <w:rPr>
          <w:rFonts w:cs="Times New Roman"/>
          <w:kern w:val="2"/>
        </w:rPr>
        <w:t>4800MHz</w:t>
      </w:r>
      <w:r>
        <w:rPr>
          <w:rFonts w:hint="eastAsia" w:cs="Times New Roman"/>
          <w:kern w:val="2"/>
        </w:rPr>
        <w:t>频段的卫星地球站，工作在</w:t>
      </w:r>
      <w:r>
        <w:rPr>
          <w:rFonts w:cs="Times New Roman"/>
          <w:kern w:val="2"/>
        </w:rPr>
        <w:t>4800</w:t>
      </w:r>
      <w:r>
        <w:rPr>
          <w:rFonts w:hint="eastAsia" w:cs="Times New Roman"/>
          <w:kern w:val="2"/>
        </w:rPr>
        <w:t>～</w:t>
      </w:r>
      <w:r>
        <w:rPr>
          <w:rFonts w:cs="Times New Roman"/>
          <w:kern w:val="2"/>
        </w:rPr>
        <w:t>4900MHz</w:t>
      </w:r>
      <w:r>
        <w:rPr>
          <w:rFonts w:hint="eastAsia" w:cs="Times New Roman"/>
          <w:kern w:val="2"/>
        </w:rPr>
        <w:t>频段内的室外</w:t>
      </w:r>
      <w:r>
        <w:rPr>
          <w:rFonts w:cs="Times New Roman"/>
          <w:kern w:val="2"/>
        </w:rPr>
        <w:t>5G</w:t>
      </w:r>
      <w:r>
        <w:rPr>
          <w:rFonts w:hint="eastAsia" w:cs="Times New Roman"/>
          <w:kern w:val="2"/>
        </w:rPr>
        <w:t>基站的协调区为以卫星地球站为中心、半径</w:t>
      </w:r>
      <w:r>
        <w:rPr>
          <w:rFonts w:cs="Times New Roman"/>
          <w:kern w:val="2"/>
        </w:rPr>
        <w:t>4</w:t>
      </w:r>
      <w:r>
        <w:rPr>
          <w:rFonts w:hint="eastAsia" w:cs="Times New Roman"/>
          <w:kern w:val="2"/>
        </w:rPr>
        <w:t>公里的圆形区域；如果上述卫星地球站已采用滤波和抗饱和措施且指标满足附件</w:t>
      </w:r>
      <w:r>
        <w:rPr>
          <w:rFonts w:cs="Times New Roman"/>
          <w:kern w:val="2"/>
        </w:rPr>
        <w:t>4</w:t>
      </w:r>
      <w:r>
        <w:rPr>
          <w:rFonts w:hint="eastAsia" w:cs="Times New Roman"/>
          <w:kern w:val="2"/>
        </w:rPr>
        <w:t>的要求，工作在</w:t>
      </w:r>
      <w:r>
        <w:rPr>
          <w:rFonts w:cs="Times New Roman"/>
          <w:kern w:val="2"/>
        </w:rPr>
        <w:t>4900</w:t>
      </w:r>
      <w:r>
        <w:rPr>
          <w:rFonts w:hint="eastAsia" w:cs="Times New Roman"/>
          <w:kern w:val="2"/>
        </w:rPr>
        <w:t>～</w:t>
      </w:r>
      <w:r>
        <w:rPr>
          <w:rFonts w:cs="Times New Roman"/>
          <w:kern w:val="2"/>
        </w:rPr>
        <w:t>5000MHz</w:t>
      </w:r>
      <w:r>
        <w:rPr>
          <w:rFonts w:hint="eastAsia" w:cs="Times New Roman"/>
          <w:kern w:val="2"/>
        </w:rPr>
        <w:t>频段内的室外</w:t>
      </w:r>
      <w:r>
        <w:rPr>
          <w:rFonts w:cs="Times New Roman"/>
          <w:kern w:val="2"/>
        </w:rPr>
        <w:t>5G</w:t>
      </w:r>
      <w:r>
        <w:rPr>
          <w:rFonts w:hint="eastAsia" w:cs="Times New Roman"/>
          <w:kern w:val="2"/>
        </w:rPr>
        <w:t>基站的协调区可减小为以卫星地球站为中心、半径</w:t>
      </w:r>
      <w:r>
        <w:rPr>
          <w:rFonts w:cs="Times New Roman"/>
          <w:kern w:val="2"/>
        </w:rPr>
        <w:t>100</w:t>
      </w:r>
      <w:r>
        <w:rPr>
          <w:rFonts w:hint="eastAsia" w:cs="Times New Roman"/>
          <w:kern w:val="2"/>
        </w:rPr>
        <w:t>米的圆形区域，否则协调区为以卫星地球站为中心、半径</w:t>
      </w:r>
      <w:r>
        <w:rPr>
          <w:rFonts w:cs="Times New Roman"/>
          <w:kern w:val="2"/>
        </w:rPr>
        <w:t>2</w:t>
      </w:r>
      <w:r>
        <w:rPr>
          <w:rFonts w:hint="eastAsia" w:cs="Times New Roman"/>
          <w:kern w:val="2"/>
        </w:rPr>
        <w:t>公里的圆形区域。</w:t>
      </w:r>
    </w:p>
    <w:p>
      <w:pPr>
        <w:widowControl w:val="0"/>
        <w:spacing w:line="360" w:lineRule="auto"/>
        <w:ind w:firstLine="480" w:firstLineChars="200"/>
        <w:jc w:val="both"/>
        <w:rPr>
          <w:rFonts w:cs="Times New Roman"/>
          <w:kern w:val="2"/>
        </w:rPr>
      </w:pPr>
      <w:r>
        <w:rPr>
          <w:rFonts w:cs="Times New Roman"/>
          <w:kern w:val="2"/>
        </w:rPr>
        <w:t>2.</w:t>
      </w:r>
      <w:r>
        <w:rPr>
          <w:rFonts w:hint="eastAsia" w:cs="Times New Roman"/>
          <w:kern w:val="2"/>
        </w:rPr>
        <w:t>干扰协调程序</w:t>
      </w:r>
    </w:p>
    <w:p>
      <w:pPr>
        <w:widowControl w:val="0"/>
        <w:spacing w:line="360" w:lineRule="auto"/>
        <w:ind w:firstLine="480" w:firstLineChars="200"/>
        <w:jc w:val="both"/>
        <w:rPr>
          <w:rFonts w:cs="Times New Roman"/>
          <w:kern w:val="2"/>
        </w:rPr>
      </w:pPr>
      <w:r>
        <w:rPr>
          <w:rFonts w:hint="eastAsia" w:cs="Times New Roman"/>
          <w:kern w:val="2"/>
        </w:rPr>
        <w:t>相关单位在获得中频段</w:t>
      </w:r>
      <w:r>
        <w:rPr>
          <w:rFonts w:cs="Times New Roman"/>
          <w:kern w:val="2"/>
        </w:rPr>
        <w:t>5G</w:t>
      </w:r>
      <w:r>
        <w:rPr>
          <w:rFonts w:hint="eastAsia" w:cs="Times New Roman"/>
          <w:kern w:val="2"/>
        </w:rPr>
        <w:t>频率使用许可证（或批准文件）后，应及时向当地无线电管理机构了解需要干扰保护的卫星地球站信息。各地无线电管理机构应及时向相关单位提供本地需要干扰保护的已设卫星地球站及已申请设置卫星地球站清单并及时更新。相关单位在申请设置、使用</w:t>
      </w:r>
      <w:r>
        <w:rPr>
          <w:rFonts w:cs="Times New Roman"/>
          <w:kern w:val="2"/>
        </w:rPr>
        <w:t>5G</w:t>
      </w:r>
      <w:r>
        <w:rPr>
          <w:rFonts w:hint="eastAsia" w:cs="Times New Roman"/>
          <w:kern w:val="2"/>
        </w:rPr>
        <w:t>基站前，应主动发起与卫星地球站使用单位的干扰协调，并将协调请求及时报送当地无线电管理机构。收到协调请求后，设置、使用卫星地球站的单位和用户应在</w:t>
      </w:r>
      <w:r>
        <w:rPr>
          <w:rFonts w:cs="Times New Roman"/>
          <w:kern w:val="2"/>
        </w:rPr>
        <w:t>15</w:t>
      </w:r>
      <w:r>
        <w:rPr>
          <w:rFonts w:hint="eastAsia" w:cs="Times New Roman"/>
          <w:kern w:val="2"/>
        </w:rPr>
        <w:t>个工作日内予以确认。如在</w:t>
      </w:r>
      <w:r>
        <w:rPr>
          <w:rFonts w:cs="Times New Roman"/>
          <w:kern w:val="2"/>
        </w:rPr>
        <w:t>2</w:t>
      </w:r>
      <w:r>
        <w:rPr>
          <w:rFonts w:hint="eastAsia" w:cs="Times New Roman"/>
          <w:kern w:val="2"/>
        </w:rPr>
        <w:t>个月内双方就协调问题未能取得一致意见，可以向地方无线电管理机构提出协助请求。待完成协调工作后，相关单位可向无线电管理机构提出</w:t>
      </w:r>
      <w:r>
        <w:rPr>
          <w:rFonts w:cs="Times New Roman"/>
          <w:kern w:val="2"/>
        </w:rPr>
        <w:t>5G</w:t>
      </w:r>
      <w:r>
        <w:rPr>
          <w:rFonts w:hint="eastAsia" w:cs="Times New Roman"/>
          <w:kern w:val="2"/>
        </w:rPr>
        <w:t>基站设台许可申请。</w:t>
      </w:r>
    </w:p>
    <w:p>
      <w:pPr>
        <w:widowControl w:val="0"/>
        <w:spacing w:line="360" w:lineRule="auto"/>
        <w:ind w:firstLine="480" w:firstLineChars="200"/>
        <w:jc w:val="both"/>
        <w:rPr>
          <w:rFonts w:cs="Times New Roman"/>
          <w:kern w:val="2"/>
        </w:rPr>
      </w:pPr>
      <w:r>
        <w:rPr>
          <w:rFonts w:hint="eastAsia" w:cs="Times New Roman"/>
          <w:kern w:val="2"/>
        </w:rPr>
        <w:t>若干扰协调区涉及其他省份，当地无线电管理机构应向相关省、自治区、直辖市无线电管理机构通报情况。</w:t>
      </w:r>
    </w:p>
    <w:p>
      <w:pPr>
        <w:widowControl w:val="0"/>
        <w:spacing w:line="360" w:lineRule="auto"/>
        <w:ind w:firstLine="480" w:firstLineChars="200"/>
        <w:jc w:val="both"/>
        <w:rPr>
          <w:rFonts w:cs="Times New Roman"/>
          <w:kern w:val="2"/>
        </w:rPr>
      </w:pPr>
      <w:r>
        <w:rPr>
          <w:rFonts w:hint="eastAsia" w:cs="Times New Roman"/>
          <w:kern w:val="2"/>
        </w:rPr>
        <w:t>按照《国家无线电办公室关于开展</w:t>
      </w:r>
      <w:r>
        <w:rPr>
          <w:rFonts w:cs="Times New Roman"/>
          <w:kern w:val="2"/>
        </w:rPr>
        <w:t>3400</w:t>
      </w:r>
      <w:r>
        <w:rPr>
          <w:rFonts w:hint="eastAsia" w:cs="Times New Roman"/>
          <w:kern w:val="2"/>
        </w:rPr>
        <w:t>～</w:t>
      </w:r>
      <w:r>
        <w:rPr>
          <w:rFonts w:cs="Times New Roman"/>
          <w:kern w:val="2"/>
        </w:rPr>
        <w:t>4200MHz</w:t>
      </w:r>
      <w:r>
        <w:rPr>
          <w:rFonts w:hint="eastAsia" w:cs="Times New Roman"/>
          <w:kern w:val="2"/>
        </w:rPr>
        <w:t>和</w:t>
      </w:r>
      <w:r>
        <w:rPr>
          <w:rFonts w:cs="Times New Roman"/>
          <w:kern w:val="2"/>
        </w:rPr>
        <w:t>4500</w:t>
      </w:r>
      <w:r>
        <w:rPr>
          <w:rFonts w:hint="eastAsia" w:cs="Times New Roman"/>
          <w:kern w:val="2"/>
        </w:rPr>
        <w:t>～</w:t>
      </w:r>
      <w:r>
        <w:rPr>
          <w:rFonts w:cs="Times New Roman"/>
          <w:kern w:val="2"/>
        </w:rPr>
        <w:t>5000MHz</w:t>
      </w:r>
      <w:r>
        <w:rPr>
          <w:rFonts w:hint="eastAsia" w:cs="Times New Roman"/>
          <w:kern w:val="2"/>
        </w:rPr>
        <w:t>频段卫星地球站等无线电台（站）清理核查工作的通知》（国无办〔</w:t>
      </w:r>
      <w:r>
        <w:rPr>
          <w:rFonts w:cs="Times New Roman"/>
          <w:kern w:val="2"/>
        </w:rPr>
        <w:t>2018</w:t>
      </w:r>
      <w:r>
        <w:rPr>
          <w:rFonts w:hint="eastAsia" w:cs="Times New Roman"/>
          <w:kern w:val="2"/>
        </w:rPr>
        <w:t>〕</w:t>
      </w:r>
      <w:r>
        <w:rPr>
          <w:rFonts w:cs="Times New Roman"/>
          <w:kern w:val="2"/>
        </w:rPr>
        <w:t>4</w:t>
      </w:r>
      <w:r>
        <w:rPr>
          <w:rFonts w:hint="eastAsia" w:cs="Times New Roman"/>
          <w:kern w:val="2"/>
        </w:rPr>
        <w:t>号）要求报送并经核实的地球站，依法享有免受有害干扰的权利。为避免干扰上述卫星地球站而采取的各种措施所产生的费用，原则上由</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w:t>
      </w:r>
      <w:r>
        <w:rPr>
          <w:rFonts w:cs="Times New Roman"/>
          <w:kern w:val="2"/>
        </w:rPr>
        <w:t>5G</w:t>
      </w:r>
      <w:r>
        <w:rPr>
          <w:rFonts w:hint="eastAsia" w:cs="Times New Roman"/>
          <w:kern w:val="2"/>
        </w:rPr>
        <w:t>基站设置、使用单位承担。</w:t>
      </w:r>
    </w:p>
    <w:p>
      <w:pPr>
        <w:widowControl w:val="0"/>
        <w:spacing w:line="360" w:lineRule="auto"/>
        <w:ind w:firstLine="480" w:firstLineChars="200"/>
        <w:jc w:val="both"/>
        <w:rPr>
          <w:rFonts w:cs="Times New Roman"/>
          <w:kern w:val="2"/>
        </w:rPr>
      </w:pPr>
      <w:r>
        <w:rPr>
          <w:rFonts w:hint="eastAsia" w:cs="Times New Roman"/>
          <w:kern w:val="2"/>
        </w:rPr>
        <w:t>按照后用让先用的原则，在已开通</w:t>
      </w:r>
      <w:r>
        <w:rPr>
          <w:rFonts w:cs="Times New Roman"/>
          <w:kern w:val="2"/>
        </w:rPr>
        <w:t>5G</w:t>
      </w:r>
      <w:r>
        <w:rPr>
          <w:rFonts w:hint="eastAsia" w:cs="Times New Roman"/>
          <w:kern w:val="2"/>
        </w:rPr>
        <w:t>系统的城市，新申请设置、使用卫星地球站的单位应与干扰协调区内已取得台站执照的已建</w:t>
      </w:r>
      <w:r>
        <w:rPr>
          <w:rFonts w:cs="Times New Roman"/>
          <w:kern w:val="2"/>
        </w:rPr>
        <w:t>5G</w:t>
      </w:r>
      <w:r>
        <w:rPr>
          <w:rFonts w:hint="eastAsia" w:cs="Times New Roman"/>
          <w:kern w:val="2"/>
        </w:rPr>
        <w:t>基站完成干扰协调，协调时限要求与卫星地球站发起协调情况相同，必要时可请求无线电管理机构协助。为避免受</w:t>
      </w:r>
      <w:r>
        <w:rPr>
          <w:rFonts w:cs="Times New Roman"/>
          <w:kern w:val="2"/>
        </w:rPr>
        <w:t>5G</w:t>
      </w:r>
      <w:r>
        <w:rPr>
          <w:rFonts w:hint="eastAsia" w:cs="Times New Roman"/>
          <w:kern w:val="2"/>
        </w:rPr>
        <w:t>基站干扰而采取的各种措施所产生的费用，原则上由地球站设置、使用单位承担。</w:t>
      </w:r>
    </w:p>
    <w:p>
      <w:pPr>
        <w:widowControl w:val="0"/>
        <w:spacing w:line="360" w:lineRule="auto"/>
        <w:ind w:firstLine="480" w:firstLineChars="200"/>
        <w:jc w:val="both"/>
        <w:rPr>
          <w:rFonts w:cs="Times New Roman"/>
          <w:kern w:val="2"/>
        </w:rPr>
      </w:pPr>
      <w:r>
        <w:rPr>
          <w:rFonts w:cs="Times New Roman"/>
          <w:kern w:val="2"/>
        </w:rPr>
        <w:t>3.</w:t>
      </w:r>
      <w:r>
        <w:rPr>
          <w:rFonts w:hint="eastAsia" w:cs="Times New Roman"/>
          <w:kern w:val="2"/>
        </w:rPr>
        <w:t>干扰缓解工程措施</w:t>
      </w:r>
    </w:p>
    <w:p>
      <w:pPr>
        <w:widowControl w:val="0"/>
        <w:spacing w:line="360" w:lineRule="auto"/>
        <w:ind w:firstLine="480" w:firstLineChars="200"/>
        <w:jc w:val="both"/>
        <w:rPr>
          <w:rFonts w:cs="Times New Roman"/>
          <w:kern w:val="2"/>
        </w:rPr>
      </w:pPr>
      <w:r>
        <w:rPr>
          <w:rFonts w:hint="eastAsia" w:cs="Times New Roman"/>
          <w:kern w:val="2"/>
        </w:rPr>
        <w:t>对于依法设置的</w:t>
      </w:r>
      <w:r>
        <w:rPr>
          <w:rFonts w:cs="Times New Roman"/>
          <w:kern w:val="2"/>
        </w:rPr>
        <w:t>3400</w:t>
      </w:r>
      <w:r>
        <w:rPr>
          <w:rFonts w:hint="eastAsia" w:cs="Times New Roman"/>
          <w:kern w:val="2"/>
        </w:rPr>
        <w:t>～</w:t>
      </w:r>
      <w:r>
        <w:rPr>
          <w:rFonts w:cs="Times New Roman"/>
          <w:kern w:val="2"/>
        </w:rPr>
        <w:t>4200MHz</w:t>
      </w:r>
      <w:r>
        <w:rPr>
          <w:rFonts w:hint="eastAsia" w:cs="Times New Roman"/>
          <w:kern w:val="2"/>
        </w:rPr>
        <w:t>频段范围内的卫星地球站，如果</w:t>
      </w:r>
      <w:r>
        <w:rPr>
          <w:rFonts w:cs="Times New Roman"/>
          <w:kern w:val="2"/>
        </w:rPr>
        <w:t>5G</w:t>
      </w:r>
      <w:r>
        <w:rPr>
          <w:rFonts w:hint="eastAsia" w:cs="Times New Roman"/>
          <w:kern w:val="2"/>
        </w:rPr>
        <w:t>基站发射可能会对其接收产生同频干扰、邻频干扰和减敏干扰，建议采取为地球站加装滤波器或更换高频头、地域隔离、加装屏蔽网、降低</w:t>
      </w:r>
      <w:r>
        <w:rPr>
          <w:rFonts w:cs="Times New Roman"/>
          <w:kern w:val="2"/>
        </w:rPr>
        <w:t>5G</w:t>
      </w:r>
      <w:r>
        <w:rPr>
          <w:rFonts w:hint="eastAsia" w:cs="Times New Roman"/>
          <w:kern w:val="2"/>
        </w:rPr>
        <w:t>基站发射功率及调整</w:t>
      </w:r>
      <w:r>
        <w:rPr>
          <w:rFonts w:cs="Times New Roman"/>
          <w:kern w:val="2"/>
        </w:rPr>
        <w:t>5G</w:t>
      </w:r>
      <w:r>
        <w:rPr>
          <w:rFonts w:hint="eastAsia" w:cs="Times New Roman"/>
          <w:kern w:val="2"/>
        </w:rPr>
        <w:t>基站天线最大辐射方向等综合措施缓解或消除干扰。</w:t>
      </w:r>
    </w:p>
    <w:p>
      <w:pPr>
        <w:pStyle w:val="3"/>
      </w:pPr>
      <w:bookmarkStart w:id="103" w:name="_Toc55386036"/>
      <w:bookmarkStart w:id="104" w:name="_Toc56092729"/>
      <w:r>
        <w:t xml:space="preserve">G </w:t>
      </w:r>
      <w:r>
        <w:rPr>
          <w:rFonts w:hint="eastAsia"/>
        </w:rPr>
        <w:t>基站与固定业务台（站）干扰</w:t>
      </w:r>
      <w:bookmarkEnd w:id="103"/>
      <w:bookmarkEnd w:id="104"/>
    </w:p>
    <w:p>
      <w:pPr>
        <w:widowControl w:val="0"/>
        <w:spacing w:line="360" w:lineRule="auto"/>
        <w:ind w:firstLine="480" w:firstLineChars="200"/>
        <w:jc w:val="both"/>
        <w:rPr>
          <w:rFonts w:cs="Times New Roman"/>
          <w:kern w:val="2"/>
        </w:rPr>
      </w:pPr>
      <w:r>
        <w:rPr>
          <w:rFonts w:hint="eastAsia" w:cs="Times New Roman"/>
          <w:kern w:val="2"/>
        </w:rPr>
        <w:t>根据国际电联</w:t>
      </w:r>
      <w:r>
        <w:rPr>
          <w:rFonts w:cs="Times New Roman"/>
          <w:kern w:val="2"/>
        </w:rPr>
        <w:t>ITU-RF.758-6</w:t>
      </w:r>
      <w:r>
        <w:rPr>
          <w:rFonts w:hint="eastAsia" w:cs="Times New Roman"/>
          <w:kern w:val="2"/>
        </w:rPr>
        <w:t>建议书，在固定业务台（站）工作频段，干扰信号限值为固定业务台（站）接收系统噪声电平减</w:t>
      </w:r>
      <w:r>
        <w:rPr>
          <w:rFonts w:cs="Times New Roman"/>
          <w:kern w:val="2"/>
        </w:rPr>
        <w:t>10dB</w:t>
      </w:r>
      <w:r>
        <w:rPr>
          <w:rFonts w:hint="eastAsia" w:cs="Times New Roman"/>
          <w:kern w:val="2"/>
        </w:rPr>
        <w:t>，超过该限值的干扰信号可能对固定业务台（站）造成有害干扰。</w:t>
      </w:r>
    </w:p>
    <w:p>
      <w:pPr>
        <w:widowControl w:val="0"/>
        <w:spacing w:line="360" w:lineRule="auto"/>
        <w:ind w:firstLine="480" w:firstLineChars="200"/>
        <w:jc w:val="both"/>
        <w:rPr>
          <w:rFonts w:cs="Times New Roman"/>
          <w:kern w:val="2"/>
        </w:rPr>
      </w:pPr>
      <w:r>
        <w:rPr>
          <w:rFonts w:cs="Times New Roman"/>
          <w:kern w:val="2"/>
        </w:rPr>
        <w:t>1.</w:t>
      </w:r>
      <w:r>
        <w:rPr>
          <w:rFonts w:hint="eastAsia" w:cs="Times New Roman"/>
          <w:kern w:val="2"/>
        </w:rPr>
        <w:t>干扰协调区</w:t>
      </w:r>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基站与固定业务台（站）的干扰协调区是指以固定业务台（站）为中心一定范围内的地理区域，在此区域内使用相同频率的</w:t>
      </w:r>
      <w:r>
        <w:rPr>
          <w:rFonts w:cs="Times New Roman"/>
          <w:kern w:val="2"/>
        </w:rPr>
        <w:t>5G</w:t>
      </w:r>
      <w:r>
        <w:rPr>
          <w:rFonts w:hint="eastAsia" w:cs="Times New Roman"/>
          <w:kern w:val="2"/>
        </w:rPr>
        <w:t>基站可能会对固定业务台（站）产生有害干扰。</w:t>
      </w:r>
    </w:p>
    <w:p>
      <w:pPr>
        <w:widowControl w:val="0"/>
        <w:spacing w:line="360" w:lineRule="auto"/>
        <w:ind w:firstLine="480" w:firstLineChars="200"/>
        <w:jc w:val="both"/>
        <w:rPr>
          <w:rFonts w:cs="Times New Roman"/>
          <w:kern w:val="2"/>
        </w:rPr>
      </w:pPr>
      <w:r>
        <w:rPr>
          <w:rFonts w:hint="eastAsia" w:cs="Times New Roman"/>
          <w:kern w:val="2"/>
        </w:rPr>
        <w:t>原则上干扰协调区为以固定业务台（站）为中心半径</w:t>
      </w:r>
      <w:r>
        <w:rPr>
          <w:rFonts w:cs="Times New Roman"/>
          <w:kern w:val="2"/>
        </w:rPr>
        <w:t>300</w:t>
      </w:r>
      <w:r>
        <w:rPr>
          <w:rFonts w:hint="eastAsia" w:cs="Times New Roman"/>
          <w:kern w:val="2"/>
        </w:rPr>
        <w:t>米的圆形区域；对于微波通信系统，当</w:t>
      </w:r>
      <w:r>
        <w:rPr>
          <w:rFonts w:cs="Times New Roman"/>
          <w:kern w:val="2"/>
        </w:rPr>
        <w:t>5G</w:t>
      </w:r>
      <w:r>
        <w:rPr>
          <w:rFonts w:hint="eastAsia" w:cs="Times New Roman"/>
          <w:kern w:val="2"/>
        </w:rPr>
        <w:t>基站位于微波通信系统最大增益接收方向时，应避免</w:t>
      </w:r>
      <w:r>
        <w:rPr>
          <w:rFonts w:cs="Times New Roman"/>
          <w:kern w:val="2"/>
        </w:rPr>
        <w:t>5G</w:t>
      </w:r>
      <w:r>
        <w:rPr>
          <w:rFonts w:hint="eastAsia" w:cs="Times New Roman"/>
          <w:kern w:val="2"/>
        </w:rPr>
        <w:t>基站的最大增益发射方向正对微波通信系统。</w:t>
      </w:r>
    </w:p>
    <w:p>
      <w:pPr>
        <w:widowControl w:val="0"/>
        <w:spacing w:line="360" w:lineRule="auto"/>
        <w:ind w:firstLine="480" w:firstLineChars="200"/>
        <w:jc w:val="both"/>
        <w:rPr>
          <w:rFonts w:cs="Times New Roman"/>
          <w:kern w:val="2"/>
        </w:rPr>
      </w:pPr>
      <w:r>
        <w:rPr>
          <w:rFonts w:cs="Times New Roman"/>
          <w:kern w:val="2"/>
        </w:rPr>
        <w:t>2.</w:t>
      </w:r>
      <w:r>
        <w:rPr>
          <w:rFonts w:hint="eastAsia" w:cs="Times New Roman"/>
          <w:kern w:val="2"/>
        </w:rPr>
        <w:t>干扰协调程序</w:t>
      </w:r>
    </w:p>
    <w:p>
      <w:pPr>
        <w:widowControl w:val="0"/>
        <w:spacing w:line="360" w:lineRule="auto"/>
        <w:ind w:firstLine="480" w:firstLineChars="200"/>
        <w:jc w:val="both"/>
        <w:rPr>
          <w:rFonts w:cs="Times New Roman"/>
          <w:kern w:val="2"/>
        </w:rPr>
      </w:pPr>
      <w:r>
        <w:rPr>
          <w:rFonts w:hint="eastAsia" w:cs="Times New Roman"/>
          <w:kern w:val="2"/>
        </w:rPr>
        <w:t>相关单位在获得中频段</w:t>
      </w:r>
      <w:r>
        <w:rPr>
          <w:rFonts w:cs="Times New Roman"/>
          <w:kern w:val="2"/>
        </w:rPr>
        <w:t>5G</w:t>
      </w:r>
      <w:r>
        <w:rPr>
          <w:rFonts w:hint="eastAsia" w:cs="Times New Roman"/>
          <w:kern w:val="2"/>
        </w:rPr>
        <w:t>频率使用许可证后，应及时向当地无线电管理机构了解需要干扰保护的固定业务台（站）信息。各地无线电管理机构应及时向相关单位提供本地需要干扰保护的已设固定业务台（站）清单并及时更新。相关单位在申请设置、使用</w:t>
      </w:r>
      <w:r>
        <w:rPr>
          <w:rFonts w:cs="Times New Roman"/>
          <w:kern w:val="2"/>
        </w:rPr>
        <w:t>5G</w:t>
      </w:r>
      <w:r>
        <w:rPr>
          <w:rFonts w:hint="eastAsia" w:cs="Times New Roman"/>
          <w:kern w:val="2"/>
        </w:rPr>
        <w:t>基站前，应主动发起与固定业务台（站）使用单位的干扰协调，并将协调请求及时报送当地无线电管理机构，必要时可请求无线电管理机构协助。若干扰协调区涉及其他省份，当地无线电管理机构应向相关省、自治区、直辖市无线电管理机构通报情况。</w:t>
      </w:r>
    </w:p>
    <w:p>
      <w:pPr>
        <w:widowControl w:val="0"/>
        <w:spacing w:line="360" w:lineRule="auto"/>
        <w:ind w:firstLine="480" w:firstLineChars="200"/>
        <w:jc w:val="both"/>
        <w:rPr>
          <w:rFonts w:cs="Times New Roman"/>
          <w:kern w:val="2"/>
        </w:rPr>
      </w:pPr>
      <w:r>
        <w:rPr>
          <w:rFonts w:hint="eastAsia" w:cs="Times New Roman"/>
          <w:kern w:val="2"/>
        </w:rPr>
        <w:t>根据《工业和信息化部关于第五代移动通信系统使用</w:t>
      </w:r>
      <w:r>
        <w:rPr>
          <w:rFonts w:cs="Times New Roman"/>
          <w:kern w:val="2"/>
        </w:rPr>
        <w:t>3300</w:t>
      </w:r>
      <w:r>
        <w:rPr>
          <w:rFonts w:hint="eastAsia" w:cs="Times New Roman"/>
          <w:kern w:val="2"/>
        </w:rPr>
        <w:t>～</w:t>
      </w:r>
      <w:r>
        <w:rPr>
          <w:rFonts w:cs="Times New Roman"/>
          <w:kern w:val="2"/>
        </w:rPr>
        <w:t>3600MHz</w:t>
      </w:r>
      <w:r>
        <w:rPr>
          <w:rFonts w:hint="eastAsia" w:cs="Times New Roman"/>
          <w:kern w:val="2"/>
        </w:rPr>
        <w:t>和</w:t>
      </w:r>
      <w:r>
        <w:rPr>
          <w:rFonts w:cs="Times New Roman"/>
          <w:kern w:val="2"/>
        </w:rPr>
        <w:t>4800</w:t>
      </w:r>
      <w:r>
        <w:rPr>
          <w:rFonts w:hint="eastAsia" w:cs="Times New Roman"/>
          <w:kern w:val="2"/>
        </w:rPr>
        <w:t>～</w:t>
      </w:r>
      <w:r>
        <w:rPr>
          <w:rFonts w:cs="Times New Roman"/>
          <w:kern w:val="2"/>
        </w:rPr>
        <w:t>5000MHz</w:t>
      </w:r>
      <w:r>
        <w:rPr>
          <w:rFonts w:hint="eastAsia" w:cs="Times New Roman"/>
          <w:kern w:val="2"/>
        </w:rPr>
        <w:t>频段相关事宜的通知》（工信部无〔</w:t>
      </w:r>
      <w:r>
        <w:rPr>
          <w:rFonts w:cs="Times New Roman"/>
          <w:kern w:val="2"/>
        </w:rPr>
        <w:t>2017</w:t>
      </w:r>
      <w:r>
        <w:rPr>
          <w:rFonts w:hint="eastAsia" w:cs="Times New Roman"/>
          <w:kern w:val="2"/>
        </w:rPr>
        <w:t>〕</w:t>
      </w:r>
      <w:r>
        <w:rPr>
          <w:rFonts w:cs="Times New Roman"/>
          <w:kern w:val="2"/>
        </w:rPr>
        <w:t>276</w:t>
      </w:r>
      <w:r>
        <w:rPr>
          <w:rFonts w:hint="eastAsia" w:cs="Times New Roman"/>
          <w:kern w:val="2"/>
        </w:rPr>
        <w:t>号），在</w:t>
      </w:r>
      <w:r>
        <w:rPr>
          <w:rFonts w:cs="Times New Roman"/>
          <w:kern w:val="2"/>
        </w:rPr>
        <w:t>2017</w:t>
      </w:r>
      <w:r>
        <w:rPr>
          <w:rFonts w:hint="eastAsia" w:cs="Times New Roman"/>
          <w:kern w:val="2"/>
        </w:rPr>
        <w:t>年</w:t>
      </w:r>
      <w:r>
        <w:rPr>
          <w:rFonts w:cs="Times New Roman"/>
          <w:kern w:val="2"/>
        </w:rPr>
        <w:t>11</w:t>
      </w:r>
      <w:r>
        <w:rPr>
          <w:rFonts w:hint="eastAsia" w:cs="Times New Roman"/>
          <w:kern w:val="2"/>
        </w:rPr>
        <w:t>月</w:t>
      </w:r>
      <w:r>
        <w:rPr>
          <w:rFonts w:cs="Times New Roman"/>
          <w:kern w:val="2"/>
        </w:rPr>
        <w:t>15</w:t>
      </w:r>
      <w:r>
        <w:rPr>
          <w:rFonts w:hint="eastAsia" w:cs="Times New Roman"/>
          <w:kern w:val="2"/>
        </w:rPr>
        <w:t>日前依法设置的固定业务台（站），依法享有免受有害干扰的权利；为避免干扰采取的各种措施所产生的费用，原则上由相关</w:t>
      </w:r>
      <w:r>
        <w:rPr>
          <w:rFonts w:cs="Times New Roman"/>
          <w:kern w:val="2"/>
        </w:rPr>
        <w:t>5G</w:t>
      </w:r>
      <w:r>
        <w:rPr>
          <w:rFonts w:hint="eastAsia" w:cs="Times New Roman"/>
          <w:kern w:val="2"/>
        </w:rPr>
        <w:t>基站设置、使用单位承担。</w:t>
      </w:r>
    </w:p>
    <w:p>
      <w:pPr>
        <w:widowControl w:val="0"/>
        <w:spacing w:line="360" w:lineRule="auto"/>
        <w:ind w:firstLine="480" w:firstLineChars="200"/>
        <w:jc w:val="both"/>
        <w:rPr>
          <w:rFonts w:cs="Times New Roman"/>
          <w:kern w:val="2"/>
        </w:rPr>
      </w:pPr>
      <w:r>
        <w:rPr>
          <w:rFonts w:cs="Times New Roman"/>
          <w:kern w:val="2"/>
        </w:rPr>
        <w:t>3.</w:t>
      </w:r>
      <w:r>
        <w:rPr>
          <w:rFonts w:hint="eastAsia" w:cs="Times New Roman"/>
          <w:kern w:val="2"/>
        </w:rPr>
        <w:t>干扰缓解工程措施</w:t>
      </w:r>
    </w:p>
    <w:p>
      <w:pPr>
        <w:widowControl w:val="0"/>
        <w:spacing w:line="360" w:lineRule="auto"/>
        <w:ind w:firstLine="480" w:firstLineChars="200"/>
        <w:jc w:val="both"/>
        <w:rPr>
          <w:rFonts w:cs="Times New Roman"/>
          <w:kern w:val="2"/>
        </w:rPr>
      </w:pPr>
      <w:r>
        <w:rPr>
          <w:rFonts w:hint="eastAsia" w:cs="Times New Roman"/>
          <w:kern w:val="2"/>
        </w:rPr>
        <w:t>为保护依法设置的固定业务台（站）免受来自同频段</w:t>
      </w:r>
      <w:r>
        <w:rPr>
          <w:rFonts w:cs="Times New Roman"/>
          <w:kern w:val="2"/>
        </w:rPr>
        <w:t>5G</w:t>
      </w:r>
      <w:r>
        <w:rPr>
          <w:rFonts w:hint="eastAsia" w:cs="Times New Roman"/>
          <w:kern w:val="2"/>
        </w:rPr>
        <w:t>基站的干扰，可采取地域隔离、加装屏蔽网、降低</w:t>
      </w:r>
      <w:r>
        <w:rPr>
          <w:rFonts w:cs="Times New Roman"/>
          <w:kern w:val="2"/>
        </w:rPr>
        <w:t>5G</w:t>
      </w:r>
      <w:r>
        <w:rPr>
          <w:rFonts w:hint="eastAsia" w:cs="Times New Roman"/>
          <w:kern w:val="2"/>
        </w:rPr>
        <w:t>基站发射功率及调整</w:t>
      </w:r>
      <w:r>
        <w:rPr>
          <w:rFonts w:cs="Times New Roman"/>
          <w:kern w:val="2"/>
        </w:rPr>
        <w:t>5G</w:t>
      </w:r>
      <w:r>
        <w:rPr>
          <w:rFonts w:hint="eastAsia" w:cs="Times New Roman"/>
          <w:kern w:val="2"/>
        </w:rPr>
        <w:t>基站天线最大辐射方向等措施予以缓解。</w:t>
      </w:r>
    </w:p>
    <w:p>
      <w:pPr>
        <w:pStyle w:val="3"/>
      </w:pPr>
      <w:bookmarkStart w:id="105" w:name="_Toc55386037"/>
      <w:bookmarkStart w:id="106" w:name="_Toc56092730"/>
      <w:r>
        <w:t xml:space="preserve">5G </w:t>
      </w:r>
      <w:r>
        <w:rPr>
          <w:rFonts w:hint="eastAsia"/>
        </w:rPr>
        <w:t>基站与射电天文台干扰</w:t>
      </w:r>
      <w:bookmarkEnd w:id="105"/>
      <w:bookmarkEnd w:id="106"/>
    </w:p>
    <w:p>
      <w:pPr>
        <w:widowControl w:val="0"/>
        <w:spacing w:line="360" w:lineRule="auto"/>
        <w:ind w:firstLine="480" w:firstLineChars="200"/>
        <w:jc w:val="both"/>
        <w:rPr>
          <w:rFonts w:cs="Times New Roman"/>
          <w:kern w:val="2"/>
        </w:rPr>
      </w:pPr>
      <w:r>
        <w:rPr>
          <w:rFonts w:hint="eastAsia" w:cs="Times New Roman"/>
          <w:kern w:val="2"/>
        </w:rPr>
        <w:t>射电天文台的干扰保护准则参见国际电联</w:t>
      </w:r>
      <w:r>
        <w:rPr>
          <w:rFonts w:cs="Times New Roman"/>
          <w:kern w:val="2"/>
        </w:rPr>
        <w:t>ITU-RRA.769-2</w:t>
      </w:r>
      <w:r>
        <w:rPr>
          <w:rFonts w:hint="eastAsia" w:cs="Times New Roman"/>
          <w:kern w:val="2"/>
        </w:rPr>
        <w:t>建议书。</w:t>
      </w:r>
    </w:p>
    <w:p>
      <w:pPr>
        <w:widowControl w:val="0"/>
        <w:spacing w:line="360" w:lineRule="auto"/>
        <w:ind w:firstLine="480" w:firstLineChars="200"/>
        <w:jc w:val="both"/>
        <w:rPr>
          <w:rFonts w:cs="Times New Roman"/>
          <w:kern w:val="2"/>
        </w:rPr>
      </w:pPr>
      <w:r>
        <w:rPr>
          <w:rFonts w:hint="eastAsia" w:cs="Times New Roman"/>
          <w:kern w:val="2"/>
        </w:rPr>
        <w:t>干扰协调方法：</w:t>
      </w:r>
    </w:p>
    <w:p>
      <w:pPr>
        <w:widowControl w:val="0"/>
        <w:spacing w:line="360" w:lineRule="auto"/>
        <w:ind w:firstLine="480" w:firstLineChars="200"/>
        <w:jc w:val="both"/>
        <w:rPr>
          <w:rFonts w:cs="Times New Roman"/>
          <w:kern w:val="2"/>
        </w:rPr>
      </w:pPr>
      <w:r>
        <w:rPr>
          <w:rFonts w:hint="eastAsia" w:cs="Times New Roman"/>
          <w:kern w:val="2"/>
        </w:rPr>
        <w:t>《中华人民共和国频率划分办法》脚注</w:t>
      </w:r>
      <w:r>
        <w:rPr>
          <w:rFonts w:cs="Times New Roman"/>
          <w:kern w:val="2"/>
        </w:rPr>
        <w:t>11</w:t>
      </w:r>
      <w:r>
        <w:rPr>
          <w:rFonts w:hint="eastAsia" w:cs="Times New Roman"/>
          <w:kern w:val="2"/>
        </w:rPr>
        <w:t>和</w:t>
      </w:r>
      <w:r>
        <w:rPr>
          <w:rFonts w:cs="Times New Roman"/>
          <w:kern w:val="2"/>
        </w:rPr>
        <w:t>12</w:t>
      </w:r>
      <w:r>
        <w:rPr>
          <w:rFonts w:hint="eastAsia" w:cs="Times New Roman"/>
          <w:kern w:val="2"/>
        </w:rPr>
        <w:t>中所列射电天文台依法受到干扰保护。</w:t>
      </w:r>
    </w:p>
    <w:p>
      <w:pPr>
        <w:widowControl w:val="0"/>
        <w:spacing w:line="360" w:lineRule="auto"/>
        <w:ind w:firstLine="480" w:firstLineChars="200"/>
        <w:jc w:val="both"/>
        <w:rPr>
          <w:rFonts w:cs="Times New Roman"/>
          <w:kern w:val="2"/>
        </w:rPr>
      </w:pPr>
      <w:r>
        <w:rPr>
          <w:rFonts w:hint="eastAsia" w:cs="Times New Roman"/>
          <w:kern w:val="2"/>
        </w:rPr>
        <w:t>依据《中华人民共和国无线电管理条例》，各地无线电管理机构应通过设置电磁环境保护区的方式保护射电天文台。电磁环境保护区半径一般应大于视距范围，相关省（自治区、直辖市）级无线电管理机构应结合当地地理地形等因素，协调相关单位确定电磁环境保护区范围并对外发布。</w:t>
      </w:r>
    </w:p>
    <w:p>
      <w:pPr>
        <w:widowControl w:val="0"/>
        <w:spacing w:line="360" w:lineRule="auto"/>
        <w:ind w:firstLine="480" w:firstLineChars="200"/>
        <w:jc w:val="both"/>
        <w:rPr>
          <w:rFonts w:cs="Times New Roman"/>
          <w:kern w:val="2"/>
        </w:rPr>
      </w:pPr>
      <w:r>
        <w:rPr>
          <w:rFonts w:hint="eastAsia" w:cs="Times New Roman"/>
          <w:kern w:val="2"/>
        </w:rPr>
        <w:t>相关单位设置、使用</w:t>
      </w:r>
      <w:r>
        <w:rPr>
          <w:rFonts w:cs="Times New Roman"/>
          <w:kern w:val="2"/>
        </w:rPr>
        <w:t>5G</w:t>
      </w:r>
      <w:r>
        <w:rPr>
          <w:rFonts w:hint="eastAsia" w:cs="Times New Roman"/>
          <w:kern w:val="2"/>
        </w:rPr>
        <w:t>基站应严格遵守关于电磁环境保护区的技术要求和办法，同时应在网络规划、</w:t>
      </w:r>
      <w:r>
        <w:rPr>
          <w:rFonts w:cs="Times New Roman"/>
          <w:kern w:val="2"/>
        </w:rPr>
        <w:t>5G</w:t>
      </w:r>
      <w:r>
        <w:rPr>
          <w:rFonts w:hint="eastAsia" w:cs="Times New Roman"/>
          <w:kern w:val="2"/>
        </w:rPr>
        <w:t>基站建设和实施过程中采取必要的干扰规避措施，以避免对已规划和在运行的射电天文台产生有害干扰。</w:t>
      </w:r>
      <w:r>
        <w:rPr>
          <w:rFonts w:cs="Times New Roman"/>
          <w:kern w:val="2"/>
        </w:rPr>
        <w:br w:type="page"/>
      </w:r>
    </w:p>
    <w:p>
      <w:pPr>
        <w:pStyle w:val="2"/>
      </w:pPr>
      <w:bookmarkStart w:id="107" w:name="_Toc55386038"/>
      <w:bookmarkStart w:id="108" w:name="_Toc56092731"/>
      <w:r>
        <w:rPr>
          <w:rFonts w:hint="eastAsia"/>
        </w:rPr>
        <w:t>附则</w:t>
      </w:r>
      <w:bookmarkEnd w:id="107"/>
      <w:bookmarkEnd w:id="108"/>
    </w:p>
    <w:p>
      <w:pPr>
        <w:pStyle w:val="3"/>
        <w:numPr>
          <w:ilvl w:val="0"/>
          <w:numId w:val="26"/>
        </w:numPr>
      </w:pPr>
      <w:bookmarkStart w:id="109" w:name="_Toc55386039"/>
      <w:bookmarkStart w:id="110" w:name="_Toc56092732"/>
      <w:r>
        <w:rPr>
          <w:rFonts w:hint="eastAsia"/>
        </w:rPr>
        <w:t>规划影响因素</w:t>
      </w:r>
      <w:bookmarkEnd w:id="109"/>
      <w:bookmarkEnd w:id="110"/>
    </w:p>
    <w:p>
      <w:pPr>
        <w:spacing w:line="360" w:lineRule="auto"/>
        <w:ind w:firstLine="480" w:firstLineChars="200"/>
        <w:jc w:val="both"/>
        <w:rPr>
          <w:rFonts w:cs="Times New Roman"/>
          <w:kern w:val="2"/>
        </w:rPr>
      </w:pPr>
      <w:r>
        <w:rPr>
          <w:rFonts w:cs="Times New Roman"/>
          <w:kern w:val="2"/>
        </w:rPr>
        <w:t>1.</w:t>
      </w:r>
      <w:r>
        <w:rPr>
          <w:rFonts w:hint="eastAsia" w:cs="Times New Roman"/>
          <w:kern w:val="2"/>
        </w:rPr>
        <w:t>由于城市动态发展和人口流动的不确定性，应定期对本规划进行滚动修编，保证规划的实用性。</w:t>
      </w:r>
    </w:p>
    <w:p>
      <w:pPr>
        <w:spacing w:line="360" w:lineRule="auto"/>
        <w:ind w:firstLine="480" w:firstLineChars="200"/>
        <w:jc w:val="both"/>
        <w:rPr>
          <w:rFonts w:cs="Times New Roman"/>
          <w:kern w:val="2"/>
        </w:rPr>
      </w:pPr>
      <w:r>
        <w:rPr>
          <w:rFonts w:cs="Times New Roman"/>
          <w:kern w:val="2"/>
        </w:rPr>
        <w:t>2.</w:t>
      </w:r>
      <w:r>
        <w:rPr>
          <w:rFonts w:hint="eastAsia" w:cs="Times New Roman"/>
          <w:kern w:val="2"/>
        </w:rPr>
        <w:t>当通信技术发生较大变化时，应同步开展通信技术发展专题研究。</w:t>
      </w:r>
    </w:p>
    <w:p>
      <w:pPr>
        <w:pStyle w:val="3"/>
      </w:pPr>
      <w:bookmarkStart w:id="111" w:name="_Toc55386040"/>
      <w:bookmarkStart w:id="112" w:name="_Toc56092733"/>
      <w:r>
        <w:rPr>
          <w:rFonts w:hint="eastAsia"/>
        </w:rPr>
        <w:t>规划生效时间</w:t>
      </w:r>
      <w:bookmarkEnd w:id="111"/>
      <w:bookmarkEnd w:id="112"/>
    </w:p>
    <w:p>
      <w:pPr>
        <w:rPr>
          <w:b/>
        </w:rPr>
      </w:pPr>
      <w:r>
        <w:rPr>
          <w:rFonts w:hint="eastAsia"/>
        </w:rPr>
        <w:t>本规划自梁平区人民政府批准之日起生效</w:t>
      </w:r>
    </w:p>
    <w:p>
      <w:pPr>
        <w:jc w:val="both"/>
        <w:rPr>
          <w:rFonts w:ascii="黑体" w:hAnsi="黑体" w:eastAsia="黑体" w:cs="Times New Roman"/>
          <w:bCs/>
          <w:kern w:val="44"/>
          <w:sz w:val="30"/>
          <w:szCs w:val="30"/>
        </w:rPr>
      </w:pPr>
      <w:r>
        <w:rPr>
          <w:rFonts w:ascii="黑体" w:hAnsi="黑体" w:eastAsia="黑体" w:cs="Times New Roman"/>
          <w:b/>
          <w:sz w:val="30"/>
          <w:szCs w:val="30"/>
        </w:rPr>
        <w:br w:type="page"/>
      </w:r>
    </w:p>
    <w:p>
      <w:pPr>
        <w:pStyle w:val="2"/>
        <w:numPr>
          <w:ilvl w:val="0"/>
          <w:numId w:val="0"/>
        </w:numPr>
        <w:ind w:left="454"/>
      </w:pPr>
      <w:bookmarkStart w:id="113" w:name="_Toc55386041"/>
      <w:bookmarkStart w:id="114" w:name="_Toc56092734"/>
      <w:r>
        <w:rPr>
          <w:rFonts w:hint="eastAsia"/>
        </w:rPr>
        <w:t>附表一：新建</w:t>
      </w:r>
      <w:r>
        <w:t>5G</w:t>
      </w:r>
      <w:r>
        <w:rPr>
          <w:rFonts w:hint="eastAsia"/>
        </w:rPr>
        <w:t>综合接入机房一览表</w:t>
      </w:r>
      <w:bookmarkEnd w:id="113"/>
      <w:bookmarkEnd w:id="114"/>
    </w:p>
    <w:tbl>
      <w:tblPr>
        <w:tblStyle w:val="30"/>
        <w:tblW w:w="9500" w:type="dxa"/>
        <w:tblInd w:w="113" w:type="dxa"/>
        <w:tblLayout w:type="autofit"/>
        <w:tblCellMar>
          <w:top w:w="0" w:type="dxa"/>
          <w:left w:w="108" w:type="dxa"/>
          <w:bottom w:w="0" w:type="dxa"/>
          <w:right w:w="108" w:type="dxa"/>
        </w:tblCellMar>
      </w:tblPr>
      <w:tblGrid>
        <w:gridCol w:w="740"/>
        <w:gridCol w:w="2180"/>
        <w:gridCol w:w="1116"/>
        <w:gridCol w:w="1080"/>
        <w:gridCol w:w="760"/>
        <w:gridCol w:w="1220"/>
        <w:gridCol w:w="960"/>
        <w:gridCol w:w="1460"/>
      </w:tblGrid>
      <w:tr>
        <w:tblPrEx>
          <w:tblCellMar>
            <w:top w:w="0" w:type="dxa"/>
            <w:left w:w="108" w:type="dxa"/>
            <w:bottom w:w="0" w:type="dxa"/>
            <w:right w:w="108" w:type="dxa"/>
          </w:tblCellMar>
        </w:tblPrEx>
        <w:trPr>
          <w:trHeight w:val="280" w:hRule="atLeast"/>
        </w:trPr>
        <w:tc>
          <w:tcPr>
            <w:tcW w:w="740" w:type="dxa"/>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b/>
                <w:bCs/>
                <w:color w:val="000000"/>
                <w:sz w:val="18"/>
                <w:szCs w:val="18"/>
              </w:rPr>
            </w:pPr>
            <w:bookmarkStart w:id="115" w:name="RANGE!A1"/>
            <w:bookmarkEnd w:id="115"/>
            <w:r>
              <w:rPr>
                <w:rFonts w:hint="eastAsia" w:ascii="等线" w:hAnsi="等线" w:eastAsia="等线"/>
                <w:b/>
                <w:bCs/>
                <w:color w:val="000000"/>
                <w:sz w:val="18"/>
                <w:szCs w:val="18"/>
              </w:rPr>
              <w:t>序号</w:t>
            </w:r>
          </w:p>
        </w:tc>
        <w:tc>
          <w:tcPr>
            <w:tcW w:w="218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名称</w:t>
            </w:r>
          </w:p>
        </w:tc>
        <w:tc>
          <w:tcPr>
            <w:tcW w:w="110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经度</w:t>
            </w:r>
          </w:p>
        </w:tc>
        <w:tc>
          <w:tcPr>
            <w:tcW w:w="108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纬度</w:t>
            </w:r>
          </w:p>
        </w:tc>
        <w:tc>
          <w:tcPr>
            <w:tcW w:w="76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场景</w:t>
            </w:r>
          </w:p>
        </w:tc>
        <w:tc>
          <w:tcPr>
            <w:tcW w:w="122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属性</w:t>
            </w:r>
          </w:p>
        </w:tc>
        <w:tc>
          <w:tcPr>
            <w:tcW w:w="96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业务需求</w:t>
            </w:r>
          </w:p>
        </w:tc>
        <w:tc>
          <w:tcPr>
            <w:tcW w:w="146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机房面积</w:t>
            </w:r>
            <w:r>
              <w:rPr>
                <w:rFonts w:ascii="等线" w:hAnsi="等线" w:eastAsia="等线"/>
                <w:b/>
                <w:bCs/>
                <w:color w:val="000000"/>
                <w:sz w:val="18"/>
                <w:szCs w:val="18"/>
              </w:rPr>
              <w:t>(m</w:t>
            </w:r>
            <w:r>
              <w:rPr>
                <w:rFonts w:hint="eastAsia" w:ascii="等线" w:hAnsi="等线" w:eastAsia="等线"/>
                <w:b/>
                <w:bCs/>
                <w:color w:val="000000"/>
                <w:sz w:val="18"/>
                <w:szCs w:val="18"/>
              </w:rPr>
              <w:t>²</w:t>
            </w:r>
            <w:r>
              <w:rPr>
                <w:rFonts w:ascii="等线" w:hAnsi="等线" w:eastAsia="等线"/>
                <w:b/>
                <w:bCs/>
                <w:color w:val="000000"/>
                <w:sz w:val="18"/>
                <w:szCs w:val="18"/>
              </w:rPr>
              <w:t>)</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梁平东方天籁机房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107.76059</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30.652813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梁平公交总站</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107.766547</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30.646352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梁平新城颂回居房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107.739681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30.670439</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梁平亿联智慧小镇</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107.743697</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30.667315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梁平游泳馆</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107.739537</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30.648461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梁平月桂路路口</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107.755906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30.648884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w:t>
            </w:r>
          </w:p>
        </w:tc>
        <w:tc>
          <w:tcPr>
            <w:tcW w:w="218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梁平特区饲料路口</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107.732938</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30.673457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w:t>
            </w:r>
          </w:p>
        </w:tc>
        <w:tc>
          <w:tcPr>
            <w:tcW w:w="218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梁平知德小学</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107.743342</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30.655536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梁平农机产业园机房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107.732655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30.661078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梁平智慧小镇机房规划</w:t>
            </w:r>
            <w:r>
              <w:rPr>
                <w:rFonts w:ascii="等线" w:hAnsi="等线" w:eastAsia="等线"/>
                <w:color w:val="000000"/>
                <w:sz w:val="18"/>
                <w:szCs w:val="18"/>
              </w:rPr>
              <w:t>1</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107.742994</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30.673995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梁平智慧小镇机房规划</w:t>
            </w:r>
            <w:r>
              <w:rPr>
                <w:rFonts w:ascii="等线" w:hAnsi="等线" w:eastAsia="等线"/>
                <w:color w:val="000000"/>
                <w:sz w:val="18"/>
                <w:szCs w:val="18"/>
              </w:rPr>
              <w:t>2</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107.750526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30.681704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梁平智慧小镇机房规划</w:t>
            </w:r>
            <w:r>
              <w:rPr>
                <w:rFonts w:ascii="等线" w:hAnsi="等线" w:eastAsia="等线"/>
                <w:color w:val="000000"/>
                <w:sz w:val="18"/>
                <w:szCs w:val="18"/>
              </w:rPr>
              <w:t>3</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107.755141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30.668091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梁平火车北站机房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107.81343</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30.716165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梁平扈家巷</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107.800001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30.683333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梁平祥和小区</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107.795555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30.678333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梁平中学宿舍机房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107.770277</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30.664167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107.766511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30.648391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梁平世纪商投</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107.760591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30.662391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梁平亿联二期机房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107.741393</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30.666555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梁平亿联开发部机房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107.742971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30.662982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梁平红旗中学</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107.804166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30.669167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梁平黄桷树</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107.777222</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30.666667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107.809216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30.694194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梁平东门体育馆</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107.811831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30.678455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梁平梁山初中</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107.788949</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30.670001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梁平区公安局</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107.781802</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30.658418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梁平市民服务中心机房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107.763731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30.655451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梁平平伟集团机房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107.753188</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30.660278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梁平安福路口机房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107.726106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30.666431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梁平福德大道机房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107.732395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30.655903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梁平双桂湖管理处</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107.750993</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30.648976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107.776418</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30.659145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107.595465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30.636134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107.905803</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30.591124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107.936668</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30.534503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梁平石安机房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107.976266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30.591515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梁平曲水机房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108.047408</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30.69735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梁平七星机房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107.482291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30.680549</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107.709679</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30.500937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107.575933</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30.540251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107.848506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30.635053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107.482581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30.531602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107.68048</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30.582157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梁平竹山机房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107.576045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30.717318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梁平碧山机房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107.457334</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30.770576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107.541099</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30.813973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107.658222</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30.726868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107.687564</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30.797444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107.87984</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30.771968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107.678215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30.661034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107.63346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30.685656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107.513577</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30.740692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107.725075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30.845313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107.774888</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30.81465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107.968162</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30.656565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107.702805</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30.605493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107.808409</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30.557035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107.643213</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30.524553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107.543791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30.6041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梁平合兴新增机房</w:t>
            </w:r>
            <w:r>
              <w:rPr>
                <w:rFonts w:ascii="等线" w:hAnsi="等线" w:eastAsia="等线"/>
                <w:color w:val="000000"/>
                <w:sz w:val="18"/>
                <w:szCs w:val="18"/>
              </w:rPr>
              <w:t>1</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107.841146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30.721847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梁平合兴新增机房</w:t>
            </w:r>
            <w:r>
              <w:rPr>
                <w:rFonts w:ascii="等线" w:hAnsi="等线" w:eastAsia="等线"/>
                <w:color w:val="000000"/>
                <w:sz w:val="18"/>
                <w:szCs w:val="18"/>
              </w:rPr>
              <w:t>2</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107.821331</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30.744333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梁平合兴新增机房</w:t>
            </w:r>
            <w:r>
              <w:rPr>
                <w:rFonts w:ascii="等线" w:hAnsi="等线" w:eastAsia="等线"/>
                <w:color w:val="000000"/>
                <w:sz w:val="18"/>
                <w:szCs w:val="18"/>
              </w:rPr>
              <w:t>3</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107.90959</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30.718364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梁平星桥新增机房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107.768012</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30.730501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梁平安盛新增机房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107.719166</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30.6917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7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梁平龙胜机房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107.565492</w:t>
            </w:r>
          </w:p>
        </w:tc>
        <w:tc>
          <w:tcPr>
            <w:tcW w:w="10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30.779578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4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bl>
    <w:p>
      <w:pPr>
        <w:jc w:val="both"/>
        <w:rPr>
          <w:rFonts w:ascii="Times New Roman" w:hAnsi="Times New Roman" w:cs="Times New Roman"/>
          <w:b/>
          <w:bCs/>
          <w:kern w:val="44"/>
          <w:sz w:val="32"/>
          <w:szCs w:val="44"/>
        </w:rPr>
      </w:pPr>
      <w:r>
        <w:rPr>
          <w:rFonts w:ascii="Times New Roman" w:hAnsi="Times New Roman" w:cs="Times New Roman"/>
          <w:b/>
          <w:bCs/>
          <w:kern w:val="44"/>
          <w:sz w:val="32"/>
          <w:szCs w:val="44"/>
        </w:rPr>
        <w:br w:type="page"/>
      </w:r>
    </w:p>
    <w:p>
      <w:pPr>
        <w:pStyle w:val="2"/>
        <w:numPr>
          <w:ilvl w:val="0"/>
          <w:numId w:val="0"/>
        </w:numPr>
        <w:ind w:left="454"/>
      </w:pPr>
      <w:bookmarkStart w:id="116" w:name="_Toc55386042"/>
      <w:bookmarkStart w:id="117" w:name="_Toc56092735"/>
      <w:r>
        <w:rPr>
          <w:rFonts w:hint="eastAsia"/>
        </w:rPr>
        <w:t>附表二：新建</w:t>
      </w:r>
      <w:r>
        <w:t>5G</w:t>
      </w:r>
      <w:r>
        <w:rPr>
          <w:rFonts w:hint="eastAsia"/>
        </w:rPr>
        <w:t>室内分布及综合覆盖系统一览表</w:t>
      </w:r>
      <w:bookmarkEnd w:id="116"/>
      <w:bookmarkEnd w:id="117"/>
    </w:p>
    <w:tbl>
      <w:tblPr>
        <w:tblStyle w:val="30"/>
        <w:tblW w:w="9575" w:type="dxa"/>
        <w:tblInd w:w="113" w:type="dxa"/>
        <w:tblLayout w:type="autofit"/>
        <w:tblCellMar>
          <w:top w:w="0" w:type="dxa"/>
          <w:left w:w="108" w:type="dxa"/>
          <w:bottom w:w="0" w:type="dxa"/>
          <w:right w:w="108" w:type="dxa"/>
        </w:tblCellMar>
      </w:tblPr>
      <w:tblGrid>
        <w:gridCol w:w="680"/>
        <w:gridCol w:w="3455"/>
        <w:gridCol w:w="1180"/>
        <w:gridCol w:w="1140"/>
        <w:gridCol w:w="1000"/>
        <w:gridCol w:w="1000"/>
        <w:gridCol w:w="1120"/>
      </w:tblGrid>
      <w:tr>
        <w:trPr>
          <w:trHeight w:val="280" w:hRule="atLeast"/>
        </w:trPr>
        <w:tc>
          <w:tcPr>
            <w:tcW w:w="68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序号</w:t>
            </w:r>
          </w:p>
        </w:tc>
        <w:tc>
          <w:tcPr>
            <w:tcW w:w="3455" w:type="dxa"/>
            <w:tcBorders>
              <w:top w:val="single" w:color="auto" w:sz="4" w:space="0"/>
              <w:left w:val="nil"/>
              <w:bottom w:val="single" w:color="auto" w:sz="4" w:space="0"/>
              <w:right w:val="single" w:color="auto" w:sz="4" w:space="0"/>
            </w:tcBorders>
            <w:shd w:val="clear" w:color="000000" w:fill="FFFFFF"/>
            <w:noWrap/>
            <w:vAlign w:val="center"/>
          </w:tcPr>
          <w:p>
            <w:pPr>
              <w:rPr>
                <w:rFonts w:ascii="等线" w:hAnsi="等线" w:eastAsia="等线"/>
                <w:b/>
                <w:bCs/>
                <w:color w:val="000000"/>
                <w:sz w:val="18"/>
                <w:szCs w:val="18"/>
              </w:rPr>
            </w:pPr>
            <w:r>
              <w:rPr>
                <w:rFonts w:hint="eastAsia" w:ascii="等线" w:hAnsi="等线" w:eastAsia="等线"/>
                <w:b/>
                <w:bCs/>
                <w:color w:val="000000"/>
                <w:sz w:val="18"/>
                <w:szCs w:val="18"/>
              </w:rPr>
              <w:t>名称</w:t>
            </w:r>
          </w:p>
        </w:tc>
        <w:tc>
          <w:tcPr>
            <w:tcW w:w="118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经度</w:t>
            </w:r>
          </w:p>
        </w:tc>
        <w:tc>
          <w:tcPr>
            <w:tcW w:w="114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纬度</w:t>
            </w:r>
          </w:p>
        </w:tc>
        <w:tc>
          <w:tcPr>
            <w:tcW w:w="100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场景</w:t>
            </w:r>
          </w:p>
        </w:tc>
        <w:tc>
          <w:tcPr>
            <w:tcW w:w="100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属性</w:t>
            </w:r>
          </w:p>
        </w:tc>
        <w:tc>
          <w:tcPr>
            <w:tcW w:w="11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业务需求</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梁平巴蜀隆鑫实验幼儿园</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107.768883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30.649382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梁平必景新苑</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107.802161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30.668200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梁平博美颐景园</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107.792820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30.666580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梁平戴斯大酒店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107.768936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30.655800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梁平帝豪国际城一期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107.769851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30.661880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梁平帝豪国际城二期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107.769266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30.660363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梁平帝豪时代城</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107.768353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30.652971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梁平东城丽景一期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107.804371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30.676244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梁平东城丽景二期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107.806172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30.678096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梁平东城丽景三期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107.806913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30.677482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梁平峰亿都市广场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107.773359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30.659080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梁平福禄中学</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107.964216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30.657252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梁平妇幼保健院新城院区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107.732210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30.652900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梁平高青尚品</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107.798834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30.670286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梁平高铁南站</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107.765596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30.645167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梁平桂溪街东山城</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107.790168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30.676752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梁平海城御湖别院</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107.752834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30.651130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梁平红星美凯龙</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107.764012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30.653785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梁平湖畔一号</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107.755750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30.647390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梁平湖山云著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107.741328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30.651131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梁平教师进修校</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107.781060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30.659502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梁平金科海城集美东方</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107.751517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30.660038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梁平金科天誉</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107.742180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30.653280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梁平金玉良苑</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107.792712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30.673206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梁平兰桂香都一期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107.802720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30.672824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梁平兰桂香都二期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107.803139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30.673246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梁平立城·香山公馆</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107.772219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30.660170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梁平立城香韵华府写字楼</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107.771251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30.653504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梁平梁山路桂城置业</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107.783399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30.667354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梁平梁山路香樟豪庭</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107.783695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30.665408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w:t>
            </w:r>
            <w:r>
              <w:rPr>
                <w:rFonts w:ascii="等线" w:hAnsi="等线" w:eastAsia="等线"/>
                <w:color w:val="000000"/>
                <w:sz w:val="18"/>
                <w:szCs w:val="18"/>
              </w:rPr>
              <w:t>A</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107.767520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30.651300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w:t>
            </w:r>
            <w:r>
              <w:rPr>
                <w:rFonts w:ascii="等线" w:hAnsi="等线" w:eastAsia="等线"/>
                <w:color w:val="000000"/>
                <w:sz w:val="18"/>
                <w:szCs w:val="18"/>
              </w:rPr>
              <w:t>B</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107.766690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30.649876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w:t>
            </w:r>
            <w:r>
              <w:rPr>
                <w:rFonts w:ascii="等线" w:hAnsi="等线" w:eastAsia="等线"/>
                <w:color w:val="000000"/>
                <w:sz w:val="18"/>
                <w:szCs w:val="18"/>
              </w:rPr>
              <w:t>C</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107.766376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30.647525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梁平美丽泽京（铁塔）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107.756259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30.650707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梁平明珠上海城</w:t>
            </w:r>
            <w:r>
              <w:rPr>
                <w:rFonts w:ascii="等线" w:hAnsi="等线" w:eastAsia="等线"/>
                <w:color w:val="000000"/>
                <w:sz w:val="18"/>
                <w:szCs w:val="18"/>
              </w:rPr>
              <w:t>A</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107.763905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30.650096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梁平明珠上海城</w:t>
            </w:r>
            <w:r>
              <w:rPr>
                <w:rFonts w:ascii="等线" w:hAnsi="等线" w:eastAsia="等线"/>
                <w:color w:val="000000"/>
                <w:sz w:val="18"/>
                <w:szCs w:val="18"/>
              </w:rPr>
              <w:t>B</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107.761785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30.651458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梁平明珠湖畔（铁塔）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107.762312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30.644027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梁平巨源南泊湾</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107.759414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30.649280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梁平区行政中心综合大楼</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107.765133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30.656919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梁平人民医院</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107.773087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30.652413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梁平商投生活广场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107.762454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30.660498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梁平时光小区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107.770840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30.655100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梁平世纪佳苑北区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107.784358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30.670533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梁平世纪商投商贸区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107.761779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30.661519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梁平书香豪苑（铁塔）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107.801831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30.669981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梁平双桂城区体育馆游泳馆（铁塔）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107.738832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30.648795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梁平双桂街道办事处（铁塔）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107.760486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30.651586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梁平顺盛依山郡</w:t>
            </w:r>
            <w:r>
              <w:rPr>
                <w:rFonts w:ascii="等线" w:hAnsi="等线" w:eastAsia="等线"/>
                <w:color w:val="000000"/>
                <w:sz w:val="18"/>
                <w:szCs w:val="18"/>
              </w:rPr>
              <w:t>A</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107.795110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30.668690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梁平顺盛依山郡</w:t>
            </w:r>
            <w:r>
              <w:rPr>
                <w:rFonts w:ascii="等线" w:hAnsi="等线" w:eastAsia="等线"/>
                <w:color w:val="000000"/>
                <w:sz w:val="18"/>
                <w:szCs w:val="18"/>
              </w:rPr>
              <w:t>B</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107.793550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30.667990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梁平天籁花园</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107.761305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30.653610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梁平万家鸿购物中心</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107.680692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30.660959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梁平香满林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107.771169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30.658876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梁平香榭丽舍</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107.784130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30.660140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梁平新城农贸市场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107.772453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30.654332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梁平新世纪超市名豪店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107.773184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30.656963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w:t>
            </w:r>
            <w:r>
              <w:rPr>
                <w:rFonts w:ascii="等线" w:hAnsi="等线" w:eastAsia="等线"/>
                <w:color w:val="000000"/>
                <w:sz w:val="18"/>
                <w:szCs w:val="18"/>
              </w:rPr>
              <w:t>A</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107.775963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30.660338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w:t>
            </w:r>
            <w:r>
              <w:rPr>
                <w:rFonts w:ascii="等线" w:hAnsi="等线" w:eastAsia="等线"/>
                <w:color w:val="000000"/>
                <w:sz w:val="18"/>
                <w:szCs w:val="18"/>
              </w:rPr>
              <w:t>B</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107.776434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30.658198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w:t>
            </w:r>
            <w:r>
              <w:rPr>
                <w:rFonts w:ascii="等线" w:hAnsi="等线" w:eastAsia="等线"/>
                <w:color w:val="000000"/>
                <w:sz w:val="18"/>
                <w:szCs w:val="18"/>
              </w:rPr>
              <w:t>C</w:t>
            </w:r>
            <w:r>
              <w:rPr>
                <w:rFonts w:hint="eastAsia" w:ascii="等线" w:hAnsi="等线" w:eastAsia="等线"/>
                <w:color w:val="000000"/>
                <w:sz w:val="18"/>
                <w:szCs w:val="18"/>
              </w:rPr>
              <w:t>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107.779086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30.658354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梁平兴茂时代广场</w:t>
            </w:r>
            <w:r>
              <w:rPr>
                <w:rFonts w:ascii="等线" w:hAnsi="等线" w:eastAsia="等线"/>
                <w:color w:val="000000"/>
                <w:sz w:val="18"/>
                <w:szCs w:val="18"/>
              </w:rPr>
              <w:t>A</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107.768363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30.656840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梁平兴茂时代广场</w:t>
            </w:r>
            <w:r>
              <w:rPr>
                <w:rFonts w:ascii="等线" w:hAnsi="等线" w:eastAsia="等线"/>
                <w:color w:val="000000"/>
                <w:sz w:val="18"/>
                <w:szCs w:val="18"/>
              </w:rPr>
              <w:t>B</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107.768781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30.657829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梁平学府雅苑</w:t>
            </w:r>
            <w:r>
              <w:rPr>
                <w:rFonts w:ascii="等线" w:hAnsi="等线" w:eastAsia="等线"/>
                <w:color w:val="000000"/>
                <w:sz w:val="18"/>
                <w:szCs w:val="18"/>
              </w:rPr>
              <w:t>A</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107.805530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30.673770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梁平学府雅苑</w:t>
            </w:r>
            <w:r>
              <w:rPr>
                <w:rFonts w:ascii="等线" w:hAnsi="等线" w:eastAsia="等线"/>
                <w:color w:val="000000"/>
                <w:sz w:val="18"/>
                <w:szCs w:val="18"/>
              </w:rPr>
              <w:t>B</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107.805531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30.673771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梁平学府雅苑</w:t>
            </w:r>
            <w:r>
              <w:rPr>
                <w:rFonts w:ascii="等线" w:hAnsi="等线" w:eastAsia="等线"/>
                <w:color w:val="000000"/>
                <w:sz w:val="18"/>
                <w:szCs w:val="18"/>
              </w:rPr>
              <w:t>C</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107.804208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30.672769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梁平阳光玫瑰城一期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107.744568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30.659590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梁平平伟阳光郡（铁塔）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107.771613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30.649052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梁平依山郡商务楼</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107.794070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30.669575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梁平亿联五金城家具</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107.741059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30.662597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梁平亿联西南总部大厦</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107.742949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30.665057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梁平永辉超市大众店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107.795742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30.675178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重庆渝工科技有线公司</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107.734940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30.674177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梁平玉景豪庭二期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107.781560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30.668439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梁平玉景豪庭一期</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107.781620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30.669328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梁平云湖天地</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107.763436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30.647827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梁平泽科桂湖郡（铁塔）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107.762320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30.644980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梁平职教中心新校区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107.808067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30.694335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107.747570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30.668484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梁平智慧小镇商务商业区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107.747977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30.676446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梁平中央公园</w:t>
            </w:r>
            <w:r>
              <w:rPr>
                <w:rFonts w:ascii="等线" w:hAnsi="等线" w:eastAsia="等线"/>
                <w:color w:val="000000"/>
                <w:sz w:val="18"/>
                <w:szCs w:val="18"/>
              </w:rPr>
              <w:t>A</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107.770540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30.651140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梁平中央公园</w:t>
            </w:r>
            <w:r>
              <w:rPr>
                <w:rFonts w:ascii="等线" w:hAnsi="等线" w:eastAsia="等线"/>
                <w:color w:val="000000"/>
                <w:sz w:val="18"/>
                <w:szCs w:val="18"/>
              </w:rPr>
              <w:t>B</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107.770541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30.651141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梁平竹海南山</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107.796750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30.669130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梁平区人民法院新办公楼</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107.784372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30.668411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梁平依山郡</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107.793942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30.669482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梁平英皇国际</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107.784792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30.674498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梁平麦田餐吧</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107.767898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30.655495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梁平钻石豪门里贩式</w:t>
            </w:r>
            <w:r>
              <w:rPr>
                <w:rFonts w:ascii="等线" w:hAnsi="等线" w:eastAsia="等线"/>
                <w:color w:val="000000"/>
                <w:sz w:val="18"/>
                <w:szCs w:val="18"/>
              </w:rPr>
              <w:t>MV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107.795277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30.674308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梁平木马时代主题</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107.793319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30.674463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梁平翡翠明珠歌城</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107.774329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30.664950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梁平可可里贩</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107.797417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30.676103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梁平时光好声音</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107.770768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30.656348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梁平名仕</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107.797387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30.674181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梁平豪情</w:t>
            </w:r>
            <w:r>
              <w:rPr>
                <w:rFonts w:ascii="等线" w:hAnsi="等线" w:eastAsia="等线"/>
                <w:color w:val="000000"/>
                <w:sz w:val="18"/>
                <w:szCs w:val="18"/>
              </w:rPr>
              <w:t>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107.792972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30.679527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梁平竹韵琴海歌厅</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107.546192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30.611929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梁平凯欣商务宾馆</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107.541458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30.593336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梁平广场大酒店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107.539612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30.591758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梁平渝发商务酒店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107.539130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30.591973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w:t>
            </w:r>
            <w:r>
              <w:rPr>
                <w:rFonts w:ascii="等线" w:hAnsi="等线" w:eastAsia="等线"/>
                <w:color w:val="000000"/>
                <w:sz w:val="18"/>
                <w:szCs w:val="18"/>
              </w:rPr>
              <w:t>7</w:t>
            </w:r>
            <w:r>
              <w:rPr>
                <w:rFonts w:hint="eastAsia" w:ascii="等线" w:hAnsi="等线" w:eastAsia="等线"/>
                <w:color w:val="000000"/>
                <w:sz w:val="18"/>
                <w:szCs w:val="18"/>
              </w:rPr>
              <w:t>天优品酒店（梁平人民广场中心店）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107.793796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30.669551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梁平花园大酒店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107.598389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30.637876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梁平中心旅社</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107.640906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30.522912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梁平隆盛商务宾馆</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107.640592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30.520659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梁平如家宾馆</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107.793976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30.677712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梁平双桂农贸批零市场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107.792228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30.677302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梁平人力资源市场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107.791779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30.676098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107.793475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30.673849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梁平西池市场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107.787749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30.671598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梁平东宫娱乐城</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107.798750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30.676477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梁平海韵商业广场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107.798017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30.676480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梁平横店电影城</w:t>
            </w:r>
            <w:r>
              <w:rPr>
                <w:rFonts w:ascii="等线" w:hAnsi="等线" w:eastAsia="等线"/>
                <w:color w:val="000000"/>
                <w:sz w:val="18"/>
                <w:szCs w:val="18"/>
              </w:rPr>
              <w:t>(</w:t>
            </w:r>
            <w:r>
              <w:rPr>
                <w:rFonts w:hint="eastAsia" w:ascii="等线" w:hAnsi="等线" w:eastAsia="等线"/>
                <w:color w:val="000000"/>
                <w:sz w:val="18"/>
                <w:szCs w:val="18"/>
              </w:rPr>
              <w:t>重百商场店</w:t>
            </w:r>
            <w:r>
              <w:rPr>
                <w:rFonts w:ascii="等线" w:hAnsi="等线" w:eastAsia="等线"/>
                <w:color w:val="000000"/>
                <w:sz w:val="18"/>
                <w:szCs w:val="18"/>
              </w:rPr>
              <w:t xml:space="preserve">) </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107.797908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30.676212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梁平外滩</w:t>
            </w:r>
            <w:r>
              <w:rPr>
                <w:rFonts w:ascii="等线" w:hAnsi="等线" w:eastAsia="等线"/>
                <w:color w:val="000000"/>
                <w:sz w:val="18"/>
                <w:szCs w:val="18"/>
              </w:rPr>
              <w:t>88KTV</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107.795883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30.675919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梁平唯爱主题酒店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107.795726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30.676402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梁平守财炉北京烤鸭</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107.795876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30.673384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梁平指尚仙境足浴酒店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107.795881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30.673202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梁平和浦酒店（铁塔）</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107.790983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30.672312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梁平碧塔海足浴城</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107.789659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30.674256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114</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梁平工人俱乐部</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107.793220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30.674974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115</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梁平重百商场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107.795439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30.675306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116</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梁平蓝郡商务酒店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107.796698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30.674892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117</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梁平爱尚主题酒店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107.797515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30.676232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118</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梁平重百超市</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107.798115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30.676365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119</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梁平体育馆</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107.800074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30.675574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120</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梁平名豪酒店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107.797450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30.673921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121</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梁平奇爽食品产业园</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107.757346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30.655231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122</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梁平商投世纪生活广场</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107.761460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30.661563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123</w:t>
            </w:r>
          </w:p>
        </w:tc>
        <w:tc>
          <w:tcPr>
            <w:tcW w:w="3455"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梁平永辉超市明珠上海城店</w:t>
            </w:r>
          </w:p>
        </w:tc>
        <w:tc>
          <w:tcPr>
            <w:tcW w:w="11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107.764524 </w:t>
            </w:r>
          </w:p>
        </w:tc>
        <w:tc>
          <w:tcPr>
            <w:tcW w:w="11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30.650767 </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0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11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bl>
    <w:p>
      <w:pPr>
        <w:jc w:val="both"/>
      </w:pPr>
      <w:r>
        <w:br w:type="page"/>
      </w:r>
    </w:p>
    <w:p>
      <w:pPr>
        <w:pStyle w:val="2"/>
        <w:numPr>
          <w:ilvl w:val="0"/>
          <w:numId w:val="0"/>
        </w:numPr>
        <w:ind w:left="454"/>
        <w:rPr>
          <w:szCs w:val="32"/>
        </w:rPr>
      </w:pPr>
      <w:bookmarkStart w:id="118" w:name="_Toc55386043"/>
      <w:bookmarkStart w:id="119" w:name="_Toc56092736"/>
      <w:r>
        <w:rPr>
          <w:rFonts w:hint="eastAsia" w:ascii="黑体" w:hAnsi="黑体"/>
          <w:szCs w:val="32"/>
        </w:rPr>
        <w:t>附表三：近期</w:t>
      </w:r>
      <w:r>
        <w:rPr>
          <w:rFonts w:ascii="黑体" w:hAnsi="黑体"/>
          <w:szCs w:val="32"/>
        </w:rPr>
        <w:t>5G</w:t>
      </w:r>
      <w:r>
        <w:rPr>
          <w:rFonts w:hint="eastAsia" w:ascii="黑体" w:hAnsi="黑体"/>
          <w:szCs w:val="32"/>
        </w:rPr>
        <w:t>新建基站一览表</w:t>
      </w:r>
      <w:bookmarkEnd w:id="118"/>
      <w:bookmarkEnd w:id="119"/>
    </w:p>
    <w:p>
      <w:pPr>
        <w:jc w:val="both"/>
      </w:pPr>
    </w:p>
    <w:tbl>
      <w:tblPr>
        <w:tblStyle w:val="30"/>
        <w:tblW w:w="9440" w:type="dxa"/>
        <w:tblInd w:w="113" w:type="dxa"/>
        <w:tblLayout w:type="autofit"/>
        <w:tblCellMar>
          <w:top w:w="0" w:type="dxa"/>
          <w:left w:w="108" w:type="dxa"/>
          <w:bottom w:w="0" w:type="dxa"/>
          <w:right w:w="108" w:type="dxa"/>
        </w:tblCellMar>
      </w:tblPr>
      <w:tblGrid>
        <w:gridCol w:w="920"/>
        <w:gridCol w:w="3040"/>
        <w:gridCol w:w="1220"/>
        <w:gridCol w:w="1060"/>
        <w:gridCol w:w="960"/>
        <w:gridCol w:w="1260"/>
        <w:gridCol w:w="980"/>
      </w:tblGrid>
      <w:tr>
        <w:trPr>
          <w:trHeight w:val="280" w:hRule="atLeast"/>
        </w:trPr>
        <w:tc>
          <w:tcPr>
            <w:tcW w:w="92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序号</w:t>
            </w:r>
          </w:p>
        </w:tc>
        <w:tc>
          <w:tcPr>
            <w:tcW w:w="3040" w:type="dxa"/>
            <w:tcBorders>
              <w:top w:val="single" w:color="auto" w:sz="4" w:space="0"/>
              <w:left w:val="nil"/>
              <w:bottom w:val="single" w:color="auto" w:sz="4" w:space="0"/>
              <w:right w:val="single" w:color="auto" w:sz="4" w:space="0"/>
            </w:tcBorders>
            <w:shd w:val="clear" w:color="000000" w:fill="FFFFFF"/>
            <w:noWrap/>
            <w:vAlign w:val="center"/>
          </w:tcPr>
          <w:p>
            <w:pPr>
              <w:rPr>
                <w:rFonts w:ascii="等线" w:hAnsi="等线" w:eastAsia="等线"/>
                <w:b/>
                <w:bCs/>
                <w:color w:val="000000"/>
                <w:sz w:val="18"/>
                <w:szCs w:val="18"/>
              </w:rPr>
            </w:pPr>
            <w:r>
              <w:rPr>
                <w:rFonts w:hint="eastAsia" w:ascii="等线" w:hAnsi="等线" w:eastAsia="等线"/>
                <w:b/>
                <w:bCs/>
                <w:color w:val="000000"/>
                <w:sz w:val="18"/>
                <w:szCs w:val="18"/>
              </w:rPr>
              <w:t>名称</w:t>
            </w:r>
          </w:p>
        </w:tc>
        <w:tc>
          <w:tcPr>
            <w:tcW w:w="12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经度</w:t>
            </w:r>
          </w:p>
        </w:tc>
        <w:tc>
          <w:tcPr>
            <w:tcW w:w="106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纬度</w:t>
            </w:r>
          </w:p>
        </w:tc>
        <w:tc>
          <w:tcPr>
            <w:tcW w:w="96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场景</w:t>
            </w:r>
          </w:p>
        </w:tc>
        <w:tc>
          <w:tcPr>
            <w:tcW w:w="126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属性</w:t>
            </w:r>
          </w:p>
        </w:tc>
        <w:tc>
          <w:tcPr>
            <w:tcW w:w="98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业务需求</w:t>
            </w:r>
          </w:p>
        </w:tc>
      </w:tr>
      <w:tr>
        <w:tblPrEx>
          <w:tblCellMar>
            <w:top w:w="0" w:type="dxa"/>
            <w:left w:w="108" w:type="dxa"/>
            <w:bottom w:w="0" w:type="dxa"/>
            <w:right w:w="108" w:type="dxa"/>
          </w:tblCellMar>
        </w:tblPrEx>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梁平安福路口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107.726099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30.666463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107.768262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30.641449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107.783762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30.682532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107.777691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30.680786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梁平八角村</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107.785555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30.683056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梁平八角村岔路口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107.778846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30.681804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梁平八角公园</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107.785524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30.681404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梁平八角公园</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107.781935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30.680081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梁平八角社区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107.773501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30.679648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梁平八角闲仁农家乐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107.777685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30.677928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梁平仁贤镇白鹤村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107.679533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30.671845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梁平白沙村一中教学楼后山坡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107.806852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30.670760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梁平白洋砖厂</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107.809444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30.728889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梁平白衣寺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107.765736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30.647713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梁平百里竹海观音洞观海亭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107.563980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30.693953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梁平百里竹海观音洞刘家后河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107.568812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30.687083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梁平百里竹海景区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107.583072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30.732433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梁平百里竹海景区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107.559722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梁平百里竹海梦溪湉园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107.605433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30.759652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梁平百里竹海唐家槽</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107.589941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30.726987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梁平百里竹海唐家花院子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107.627855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30.790403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梁平百里竹海停车场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107.608446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30.747630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梁平百里竹海停车场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107.608543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30.747410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梁平百里竹海游客接待中心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107.608878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30.759293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梁平报国公园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107.793453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30.678917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梁平北池街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107.797777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梁平北池街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107.798117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30.681728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梁平北门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107.793055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梁平北外街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107.800766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30.681565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梁平北新街云桂宾馆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107.792842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30.677523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梁平奔龙湾无线机房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107.898773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30.712389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梁平碧湖大道</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107.748650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30.648459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梁平碧湖大道</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107.749755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30.647407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梁平碧湖小学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107.736706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30.649652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梁平不好吃酒楼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107.764482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30.664511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梁平财政局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107.784432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30.668114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梁平岔路口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107.671242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30.662119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梁平城东</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107.904838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30.726889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梁平城东无线机房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107.905000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30.726944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梁平城西初中</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107.773183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30.666839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梁平城西初中</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107.772920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30.665730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梁平创业路口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107.758507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30.655315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梁平大观清凉洞</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107.754233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30.581168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梁平大河坝街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107.779181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30.663729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梁平大河坝盐业公司</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107.784279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30.662963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梁平大井水厂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107.811438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30.697323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梁平大梨村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107.826683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30.783726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梁平大梨村村委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107.823723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30.772133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梁平大梨树无线机房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107.817500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30.766111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梁平大众街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107.796389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梁平戴斯酒店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107.767335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30.653922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梁平戴斯酒店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107.769031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30.656858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梁平党校</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107.804840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30.688360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梁平党校</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梁平帝豪国际</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107.770220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30.662423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梁平帝豪国际</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107.769212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30.661729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梁平电信大楼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107.798701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30.676071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梁平电信公寓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107.802183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30.676863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107.806107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30.677326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107.753901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30.651071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107.803817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30.676087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107.804285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30.677419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107.802933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30.675476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107.806913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30.677482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107.804520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30.675420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梁平东城丽景</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107.804507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30.678101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梁平东方人家</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107.781946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30.666143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梁平东方人家</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107.781666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30.666111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梁平东方天籁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107.760861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30.653382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梁平东风寺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107.839053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30.766349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梁平东门菜市场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107.800431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30.677438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梁平东门电信局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107.800490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30.676905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梁平东门体育馆</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107.811126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30.678647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梁平东门体育馆</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107.811101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30.678490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梁平东山城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107.791225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30.676719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梁平东阳无线机房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107.852193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30.703781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梁平冻品汇</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107.801473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30.688472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梁平屙尿坪</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107.715973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30.617963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梁平二厂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30.600000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梁平二批新增</w:t>
            </w:r>
            <w:r>
              <w:rPr>
                <w:rFonts w:ascii="等线" w:hAnsi="等线" w:eastAsia="等线"/>
                <w:color w:val="000000"/>
                <w:sz w:val="18"/>
                <w:szCs w:val="18"/>
              </w:rPr>
              <w:t>5-</w:t>
            </w:r>
            <w:r>
              <w:rPr>
                <w:rFonts w:hint="eastAsia" w:ascii="等线" w:hAnsi="等线" w:eastAsia="等线"/>
                <w:color w:val="000000"/>
                <w:sz w:val="18"/>
                <w:szCs w:val="18"/>
              </w:rPr>
              <w:t>高铁</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107.833887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30.705569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梁平范家店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107.769444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30.676667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梁平芬芬幼儿园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107.780173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30.669289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梁平枫丹壹号北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107.794142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30.681967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梁平枫丹壹号大门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107.794140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30.681944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梁平枫叶国际学校</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107.729184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30.650755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梁平枫叶国际学校</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107.730348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30.652592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梁平福德大道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107.732871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30.655888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梁平福德大道碧湖大道交叉口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107.733494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30.648132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梁平福德大道湖淼路交叉口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107.733193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30.653815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梁平福德大道双桂湖终段</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107.733537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30.645032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梁平福德大道竹韵路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107.733214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30.658520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107.759511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30.659151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梁平福德驾考中心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30.670462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梁平福德锦城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107.727255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30.662571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梁平福德锦城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107.728561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30.661250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梁平高都村磨子湾</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107.788024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30.769506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梁平高青尚品</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107.798740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30.670419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梁平高青尚品</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107.798762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30.669890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梁平高速服务区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107.833055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30.692222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梁平高速路收费站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107.772892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30.656136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梁平高速路收费站</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107.776061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30.650261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梁平工业大道</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107.732839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30.666989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梁平工业大道</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107.729461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30.666706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107.753611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107.722718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30.669912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107.722622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30.673427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梁平工业园区沙河盐河路口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107.722673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30.666524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梁平工业园区生态塑料孵化园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107.728196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30.669732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梁平工业园区万和灯杆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107.738219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30.655818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梁平工业园区小康环保</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107.719606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30.673691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梁平工业园区竹海大道银桂路口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107.743515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30.656291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梁平工业园区竹贤路口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107.725468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30.673644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梁平工业园中心车站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107.742823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30.667292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梁平公积金中心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梁平公路服务区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107.715924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30.663244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梁平公路局</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107.772591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30.663759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梁平公路局</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107.775258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30.663342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梁平供销社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梁平狗爬墙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107.521240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30.598247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梁平古寨路口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107.725033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30.598837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梁平观景阳台</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107.758161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30.646267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梁平光电产业园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107.743511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30.656281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梁平光明街道</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107.721666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30.628056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梁平光明街道</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107.723300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30.626560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梁平光明下场口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107.720401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30.622605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梁平广电大楼</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107.796499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30.671665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梁平广电大楼</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107.795107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30.671475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梁平广佛村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107.685001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梁平广福村高速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107.688433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30.637973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107.783736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30.667160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梁平桂东大桥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107.786067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30.660572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梁平桂湖郡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107.761543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30.645639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梁平桂花鱼庄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107.761667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梁平桂花园小区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107.789167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梁平海城御湖别院</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107.752834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30.651130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梁平海城御湖别院</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107.753763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30.652563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梁平豪门歌城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107.791668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30.674750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梁平合兴曹家湾</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107.816794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30.757404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梁平合兴观景台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107.836081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30.745824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梁平合兴邮政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107.820510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30.744190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梁平和浦酒店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107.790922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30.672520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梁平核桃湾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107.797058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30.669182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梁平恒泰锦园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107.794595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30.679981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梁平红江宾馆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107.781944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30.664167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梁平红旗中学大门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107.800134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30.669788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梁平红旗中学教学楼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107.798492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30.667727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梁平红旗中学男生公寓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107.804543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30.669602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梁平红旗中学食堂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107.801258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30.665560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梁平红十字医院</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107.775107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30.663103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梁平红十字医院</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107.775133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30.663234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梁平宏山村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107.663333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30.675556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梁平狐狸嘴</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107.510052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30.648611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梁平湖光路兰湖路交叉口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107.739692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30.652059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梁平湖光路在建小区中段</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107.736110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30.652042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梁平湖淼路兰湖路交叉口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107.739767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30.653923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梁平湖山生态馆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107.761600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30.640420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梁平湖山云著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107.744144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30.650235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梁平湖山云著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107.740065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30.651819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梁平扈家巷</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107.800151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30.680590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梁平扈家巷</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107.800100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30.683501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梁平扈家巷廉租房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107.802970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30.681558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梁平花坟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107.746675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30.639387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梁平花石岗桥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107.827106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30.753905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梁平花样年华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107.798581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30.674871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梁平华驰文具</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107.748532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30.656562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梁平华驰文具</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107.748601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30.656534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梁平华驰文具</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107.748847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30.658203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梁平华津时代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107.749954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30.654179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梁平滑石岔路口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107.734882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30.591462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梁平滑石村六组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107.738633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30.582092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梁平滑石古寨景区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107.728633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30.590801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梁平滑石古寨樱花农庄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107.718169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30.597903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梁平滑石山庄</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107.741111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30.586944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梁平滑石山庄</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107.742008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30.588778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梁平滑石寨观景台二</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107.731742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30.585958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梁平滑石寨观景台一</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107.734802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30.588368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梁平环卫所</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107.789774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30.677664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梁平环卫所</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107.797501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梁平皇家宝贝</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107.774695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30.668321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梁平黄桷树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107.777512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30.666667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梁平黄桷树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107.777489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107.772171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30.649133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梁平回兴村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107.761503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30.669320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梁平惠民花园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107.800830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30.683797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梁平惠民家园二期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107.800342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30.683498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梁平火车站候车厅</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107.812628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30.717306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梁平火车站停车场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107.811388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30.715278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梁平火车站站台</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107.815231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30.719441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梁平火车站站台</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107.813586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30.718153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梁平机场背后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107.780162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30.678078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梁平机场背后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107.777702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30.676023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梁平机场背后</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107.779926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30.679839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梁平机场背后</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107.775634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30.675984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梁平机场路</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107.811184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30.701639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梁平机场路</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107.778767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30.670675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梁平机场路</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107.812344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30.712439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梁平机场路</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107.762828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30.661315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梁平建设村高铁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107.763448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30.641834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梁平建新苑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107.792047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30.669609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梁平交通执法队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107.773745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30.676338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梁平金城村八组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107.702981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30.626289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梁平金城无线机房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107.693333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30.631667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107.703479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30.601693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梁平金桂路</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107.766091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30.650261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梁平金桂路</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107.766031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30.650431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梁平金桂路邑品观邸</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107.764002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30.653218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梁平金桂路邑品观邸</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107.764890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30.652657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梁平金科集美东方</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107.751517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30.660038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梁平金科天誉</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107.743747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30.652454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梁平金科天誉</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107.743797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30.654054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107.877612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30.717693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梁平金竹林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107.911611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30.728764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梁平金竹林隧道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107.907520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30.727390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梁平金竹林微</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107.902222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30.725278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梁平锦绣家园</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107.780691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30.662361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梁平锦绣家园</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107.781677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30.662559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梁平巨源不锈钢厂</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107.725873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30.658408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梁平巨源不锈钢厂</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107.725301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30.658669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梁平巨源湖畔壹号</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107.755014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30.647804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梁平巨源湖畔壹号</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107.755352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30.646946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梁平巨源湖畔壹号</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107.753270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30.647919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梁平巨源湖畔壹号</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107.756162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30.647823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梁平巨源南泊湾</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107.758749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30.649955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梁平巨源南泊湾</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107.758887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30.651391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梁平巨源南泊湾</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107.760129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30.649314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梁平巨源南泊湾</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107.757692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30.649364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梁平聚财旧模板加工厂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107.811538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30.704766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梁平开发区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107.762602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30.656926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梁平开发区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107.759722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30.659167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梁平看守所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107.800511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30.678860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梁平兰桂香都</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107.803046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30.672672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梁平兰桂香都</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107.803801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30.674124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梁平兰湖路在建小区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107.739821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30.646412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梁平兰湖路知德大道路口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107.742149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30.646532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梁平岚垭口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107.924941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30.731860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梁平蓝色港湾</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107.786647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30.675410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梁平蓝色港湾</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107.783622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30.674017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梁平区中医院（老）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107.795646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30.676924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梁平雷达山</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107.694180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30.607122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梁平鲤鱼</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107.833381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30.689781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梁平鲤鱼</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107.833446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30.689487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梁平力帆光彩小学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107.795286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30.683307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梁平立城香山公馆</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107.807222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30.676111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梁平立城香山公馆</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107.771489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30.660271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梁平立城香山公馆</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107.773240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30.660287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梁平凉水</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107.713650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30.653910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梁平凉水超限站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107.729590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30.663089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梁平梁安村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107.704741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30.683917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梁平梁山初中</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107.790199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30.670341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梁平梁山初中</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107.788721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30.669653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梁平梁山观景台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107.867321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30.682224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梁平梁山镇西城路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107.781806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30.670107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梁平中学后门灯杆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107.764175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30.659488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梁平梁中科技楼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107.768493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30.659996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梁平梁中宿舍</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107.764624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30.659767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梁平梁中宿舍</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107.770277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30.664167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梁平粮食回居房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107.810325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30.701369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梁平两路</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梁平蓼叶河水库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107.875961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30.722251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梁平蓼叶水库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107.892661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30.724121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梁平灵宝山</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107.655221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30.636745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梁平龙洞</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107.753333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30.624722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梁平龙泉供水</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107.770264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30.648543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梁平龙滩</w:t>
            </w:r>
            <w:r>
              <w:rPr>
                <w:rFonts w:ascii="等线" w:hAnsi="等线" w:eastAsia="等线"/>
                <w:color w:val="000000"/>
                <w:sz w:val="18"/>
                <w:szCs w:val="18"/>
              </w:rPr>
              <w:t>(</w:t>
            </w:r>
            <w:r>
              <w:rPr>
                <w:rFonts w:hint="eastAsia" w:ascii="等线" w:hAnsi="等线" w:eastAsia="等线"/>
                <w:color w:val="000000"/>
                <w:sz w:val="18"/>
                <w:szCs w:val="18"/>
              </w:rPr>
              <w:t>新</w:t>
            </w:r>
            <w:r>
              <w:rPr>
                <w:rFonts w:ascii="等线" w:hAnsi="等线" w:eastAsia="等线"/>
                <w:color w:val="000000"/>
                <w:sz w:val="18"/>
                <w:szCs w:val="18"/>
              </w:rPr>
              <w:t>)</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107.837196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30.719999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梁平龙滩</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107.857360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30.733220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梁平龙滩</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107.835639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30.721414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梁平聋哑学校</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107.783632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30.660982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梁平聋哑学校</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107.786584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30.664378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107.769611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30.648395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107.767804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30.651792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107.766511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30.648391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梁平鲁班巷</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107.801304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30.679869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梁平路桥公司</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107.761666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梁平玫瑰城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107.743032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30.659719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梁平美丽泽京</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107.756351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30.650831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梁平梦粱村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107.867302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30.715924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梁平民政无线机房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107.674166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梁平名豪后街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107.796557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30.673446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梁平名豪酒店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107.795032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30.673884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梁平名豪酒店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梁平名豪酒店</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107.797596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30.674518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梁平名豪商贸城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107.795907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30.675803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梁平明达卫生院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107.657776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30.722589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梁平明珠湖畔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107.762861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30.644217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梁平明珠上城西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107.761626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30.651492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梁平明珠上海城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107.762598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30.649587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梁平明珠上海城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107.764026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30.649625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梁平明珠上海城</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107.763575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30.651410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梁平魔芋鸭庄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107.768235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30.663574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梁平南坝村无线机房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107.830000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30.759444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梁平南园小区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107.798728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30.673890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梁平牛头寨</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107.713475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30.654129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梁平牛沱寨无线机房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107.725277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梁平农机产业园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107.732655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30.661078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梁平农牧局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107.796519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30.681124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梁平蟠龙巴巴垭口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107.862885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30.603988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梁平皮鞋厂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107.795100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30.676522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梁平啤酒厂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107.753721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30.655921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梁平平伟集团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107.753191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30.660301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梁平平伟集团</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107.753188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梁平平伟集团</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107.743038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30.659718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梁平平伟阳光郡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107.769310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30.647040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梁平平野园林酒店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107.781852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30.681884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梁平平野园林酒店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107.778611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30.681389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107.562649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30.618499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107.566238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30.619630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107.569182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30.621480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107.567774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30.620638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107.567098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30.617471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107.570364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30.616663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107.567957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30.615719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梁平屏锦工业园</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107.571954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30.618917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梁平屏锦和睦村委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107.557222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30.619722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梁平屏锦驾校</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107.570149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30.619487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梁平屏锦驾校</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107.568838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30.618452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梁平屏锦锦兴购物广场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107.539676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30.591798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梁平七里沟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107.707731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30.622726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梁平骑龙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107.908522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30.746938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梁平琦胜云湖天地</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107.763108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30.647982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梁平气象局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107.792783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30.680617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梁平汽车站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107.782620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30.664590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梁平千河无线机房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107.732559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30.601420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梁平乾街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107.784193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30.668119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梁平青少年活动中心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107.776708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30.656287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梁平清都场镇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107.765591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30.675501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梁平清都场镇政府</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107.759035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30.682912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梁平清都村工业园区旭升公司</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107.755599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30.678122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梁平邱家庙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107.708200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30.590909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梁平区滑石古寨云上天桥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107.725934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30.589355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梁平区双桂湖垂云楼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107.752658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30.646673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梁平区双桂湖桂湖夕照</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107.742267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30.644153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梁平区双桂小学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107.760472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30.651542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梁平区微型企业创业园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107.739252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30.661119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梁平群益小区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107.786364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30.674539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梁平人民北路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107.794696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梁平人民法院老办公楼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107.787233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30.670833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梁平人民法院新办公楼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107.784372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30.668411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梁平人民武装部</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107.768308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30.664505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梁平人民武装部</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107.766111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30.662778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梁平人民医院</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107.790277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30.671944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梁平人民医院</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107.773407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30.653704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梁平人民医院</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107.772887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30.651662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梁平仁和场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107.715958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30.629421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梁平仁和村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107.717457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30.634404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梁平仁和村高速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107.725278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30.623889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梁平仁贤白鹤石梁</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107.689764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30.680245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梁平仁贤岔路口</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107.655825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30.662272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梁平仁贤场镇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107.691758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30.664531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梁平仁贤出场口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107.663737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30.659912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梁平仁贤高速出口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107.660124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30.650894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梁平仁贤高速上道口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107.661320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30.658550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梁平仁贤广福洗砚坪</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107.676496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30.626866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梁平仁贤南木桥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107.681971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30.652734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梁平仁贤入城大道二号站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107.712612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30.662975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梁平仁贤入城大道一号站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107.697564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30.661421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梁平融康彩印</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107.726321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30.673591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梁平三横街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107.786467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30.666361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梁平三甲医院北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107.772860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30.651750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梁平三台山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107.803157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30.678878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梁平三峡风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107.792111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30.674604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梁平三峡风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107.791120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30.678698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梁平三峡风</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107.791421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梁平三峡风</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107.790143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30.675812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梁平三鑫汽修厂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107.781676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30.670107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梁平三元无线机房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107.683333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梁平森宝木胶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107.755742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30.653711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梁平砂轮厂</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107.751111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30.663055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梁平砂轮厂</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107.751666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30.663056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梁平上八</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107.848284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30.736510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梁平上坝</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107.802032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30.698946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梁平盛世广告传媒新</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107.785282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30.683156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梁平石牯牛</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107.730755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30.618487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梁平石龙村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107.708333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30.595278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梁平石马山公园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107.795181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30.666866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梁平石马山廉租房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107.790421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30.665351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梁平石马山美化树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107.795156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30.666841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梁平石燕村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107.690833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30.613611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梁平石竹坝</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107.743684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30.670181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梁平时代村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107.801674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30.684865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梁平时光小区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107.770283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30.654728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梁平时光小区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107.766483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30.653661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梁平实验小学</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107.801263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30.673821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梁平实验小学</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107.801391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30.672336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梁平实验小学后山坡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107.799167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30.671667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梁平实验中学</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107.795275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30.672818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梁平实验中学</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30.671667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梁平世纪商投</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107.760081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30.663467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梁平世纪商投</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107.760591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30.662391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梁平市民服务中心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107.763731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30.655451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梁平书香豪苑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107.802038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30.668966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梁平输气站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107.811017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30.738203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梁平蜀达饲料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107.756150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30.664451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梁平双桂城区体育馆游泳馆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107.737780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30.648442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梁平双桂公园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107.779279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30.655899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梁平双桂湖</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107.778799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30.658691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梁平双桂湖</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107.750993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30.648976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梁平双桂街道办事处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107.758964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30.652607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梁平双桂街道卫生院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107.774959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30.659067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梁平双桂汽车站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107.742831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30.667230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梁平双桂堂</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107.714040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30.617600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梁平双桂堂背后还建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107.697517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30.611096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梁平双桂堂美化树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107.695832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30.602222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梁平双桂堂无线机房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107.699166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30.613889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梁平双桂新民居</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107.761997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30.658363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梁平双桂雅苑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107.747635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30.652932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梁平双桂雅苑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107.751991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30.650653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梁平双桂雅苑</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107.751628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30.650760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梁平双桂雅苑</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107.751416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30.652076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梁平双桥村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107.799510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30.731464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梁平水果市场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107.796811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30.682796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梁平水利局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107.796944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30.676944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梁平顺盛依山郡区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107.793441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30.668564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梁平丝绸大厦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107.792364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30.671951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梁平松树坪</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梁平松竹雅苑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107.738398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30.664586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梁平松竹雅苑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107.740006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梁平松竹雅苑</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107.737203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30.665852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梁平松竹雅苑</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107.737927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30.663564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梁平颂和回居安置房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107.739989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30.669172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梁平颂和时代城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107.740108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30.667354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梁平颂和时代城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107.738377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30.669583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梁平颂和时代城</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107.738501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30.668476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梁平塑佳包装厂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107.756744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30.661691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梁平太合村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107.767454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30.643727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梁平太和村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107.776695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30.654932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梁平泰和路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107.779681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30.659715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梁平泰和路桂东路交叉口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107.781607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30.657589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梁平天龙村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107.846847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30.720723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梁平天然气公司</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107.788533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30.666302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梁平天主堂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107.792649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30.666533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梁平铁山坪</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107.865645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30.685237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梁平土城门</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107.780833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30.670556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梁平土城门</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107.783421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30.671197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梁平土城门</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107.782690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30.672290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梁平土桥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107.804266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30.682831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梁平万和回居房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107.736797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30.654315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梁平文峰路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107.785690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30.666230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梁平文峰塔附近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107.753504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30.680925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梁平文峰塔新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107.770345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30.680036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梁平窝子溪滨河公园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107.771296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30.653292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梁平五星无线机房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107.658333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30.642501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梁平五一村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107.655831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30.626112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梁平五一村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107.694166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30.631667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梁平五一无线机房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107.656111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30.627222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梁平武装部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107.768330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30.664440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梁平物流园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107.739624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30.673789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梁平西街小学</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107.785870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30.672050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梁平西街小学</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107.792101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30.676847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梁平西南大学附属实验中学</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107.740192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30.649140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梁平西南大学附属实验中学</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107.741623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30.648432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梁平县验塘</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107.645501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30.660653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梁平香山公馆</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107.771993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30.659460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梁平香山公馆</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107.772755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30.659359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梁平香榭丽舍</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107.783361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30.656531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梁平香榭丽舍</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107.783646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30.660126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梁平祥和小区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梁平祥和小区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107.795555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梁平祥和小区</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107.794560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30.677647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梁平响鼓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107.913327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30.720162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梁平响水</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107.750062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30.630509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梁平响水</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107.750223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30.636195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梁平响水</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107.745286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30.631648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梁平消防队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107.776172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30.657941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梁平新城建设指挥部</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107.752505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30.657514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梁平新城建设指挥部</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107.753055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30.659167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梁平新城七一村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107.703414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30.671900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梁平新城体育馆</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107.760795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30.645725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梁平新城体育馆</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107.759839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30.647957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梁平新城体育馆</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107.758868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30.646412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梁平新城体育馆</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107.761348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梁平新妇幼保健院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107.733998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30.652371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梁平鑫桂家园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107.788383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30.675246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梁平星桥高都广子岭</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107.802434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30.750809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梁平星桥入场口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107.796547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30.680935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梁平兴隆街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107.777777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30.668611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梁平兴隆街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107.770697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30.665939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梁平兴茂花漾城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107.769040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30.656880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107.776447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30.659608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107.777091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30.660834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107.774523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30.661044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梁平兴茂时代广场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107.772061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30.657719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梁平兴茂时代广场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107.766944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30.655833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梁平兴业大道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107.732871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30.673021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梁平学府雅园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107.802332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30.671352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梁平雪莱翡翠城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107.787453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30.668560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梁平雪莱翡翠城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107.786411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30.669141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梁平雅豪苑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107.786627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30.673227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梁平雅豪苑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107.784032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30.672832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梁平阳光玫瑰城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107.744213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30.657492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梁平阳光玫瑰城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107.744551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30.659480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梁平药业公司</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107.791532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30.673409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梁平一环路迎水十字路口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107.795059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30.693254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梁平一中后门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107.805002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梁平一中学府雅苑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107.804090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30.672570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梁平依山郡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107.806125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30.674231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107.739021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30.662943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梁平亿联二期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107.741165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30.666601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梁平亿联建材</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107.741388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梁平亿联建材</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107.738919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30.666211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梁平亿联建材</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107.740946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30.663710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梁平亿联开发部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107.742971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30.662982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梁平亿联总部大厦工业大道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107.744223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30.666311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梁平银桂路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107.768776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30.650318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梁平银恒村</w:t>
            </w:r>
            <w:r>
              <w:rPr>
                <w:rFonts w:ascii="等线" w:hAnsi="等线" w:eastAsia="等线"/>
                <w:color w:val="000000"/>
                <w:sz w:val="18"/>
                <w:szCs w:val="18"/>
              </w:rPr>
              <w:t>(</w:t>
            </w:r>
            <w:r>
              <w:rPr>
                <w:rFonts w:hint="eastAsia" w:ascii="等线" w:hAnsi="等线" w:eastAsia="等线"/>
                <w:color w:val="000000"/>
                <w:sz w:val="18"/>
                <w:szCs w:val="18"/>
              </w:rPr>
              <w:t>新</w:t>
            </w:r>
            <w:r>
              <w:rPr>
                <w:rFonts w:ascii="等线" w:hAnsi="等线" w:eastAsia="等线"/>
                <w:color w:val="000000"/>
                <w:sz w:val="18"/>
                <w:szCs w:val="18"/>
              </w:rPr>
              <w:t>)</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107.821423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30.727366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梁平迎宾路一八九号</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107.764446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30.661994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梁平永安村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107.705030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30.636777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梁平永宁</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107.695833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30.602222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梁平梁山初级中学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107.789219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30.669337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梁平邮政老办公楼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30.668056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梁平残联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107.791342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30.670115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梁平邮政新办公楼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107.785102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30.664609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梁平柚乡路沪聂线交叉口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107.722869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30.662680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梁平玉景豪庭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107.782086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30.667998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梁平玉龙庭院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107.798169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30.679723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梁平玉龙庭院后门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107.798242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30.678344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梁平裕华建材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107.799899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30.685856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梁平悦达北站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107.790957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30.679104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梁平云佛村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107.848315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30.696333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梁平云福</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107.851944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30.702776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梁平云湖大酒店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107.765532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30.644842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梁平咂口岩（新）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107.731863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30.618383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梁平皂角</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107.756170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30.664400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梁平皂角</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107.757576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30.666693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梁平皂角社区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107.745558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30.663321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梁平皂角社区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107.745246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30.663035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梁平皂角小区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107.745617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梁平泽科桂湖郡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107.762840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30.645869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梁平展览馆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107.767245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30.656214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梁平张生桥水库</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107.747671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30.645076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梁平张星桥水库</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107.747187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30.646557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梁平长龙村高速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107.676605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30.645344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梁平镇龙公园美化树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107.767979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30.657755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梁平镇龙公园美化树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107.766451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30.658511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梁平镇龙小区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107.767340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30.666106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梁平正康医院</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107.792222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30.670833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梁平正康医院</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107.791944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30.671389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梁平知德大道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107.744198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30.646310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梁平知德大道迎宾路工业园区中央</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107.747512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30.660895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107.807433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30.695885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107.809216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30.694194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107.808851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30.695641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梁平职教中心大门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107.807308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30.691486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107.807152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30.694320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梁平职校</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107.734495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30.667897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梁平职校</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107.735956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30.666749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107.745440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30.676521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107.751545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30.682876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107.745998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30.670839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107.749077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30.683577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107.748295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30.670692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107.742506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30.678127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107.745999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30.667426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107.725709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30.676034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107.739712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30.676394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107.746888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30.683752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19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107.748917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30.667592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107.736301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30.676276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107.741160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30.682776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107.751449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30.670839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107.742886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30.684933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107.736290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30.681275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107.752050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30.667684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107.741181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30.685644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107.737438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30.684235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107.737534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30.685480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107.737706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30.682860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29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107.748316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30.672407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107.752576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30.677619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107.739336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30.683348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107.751642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30.672389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107.739282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30.684898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107.729117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30.675976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107.739282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30.686290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107.742571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30.674926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107.736590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30.687306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107.734928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30.682908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107.745344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30.678182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39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107.734114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30.679634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107.754035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30.676235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107.736344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30.679384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107.737867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30.678590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107.737417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30.679356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107.737325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30.681339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107.758318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30.676393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107.737368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30.680246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107.738457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107.736301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30.680186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107.739776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30.674974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49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107.738317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30.681357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107.741009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30.683790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107.744345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30.683504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107.734114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30.680750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107.734242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30.678407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107.743616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30.681881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107.741278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30.680101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107.760594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30.674457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107.741567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30.681586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107.742704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30.682637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107.745783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30.681723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59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107.750955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30.678403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107.752597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30.679122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107.751084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30.676281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107.742533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107.722407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30.676130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107.754873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30.672481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107.755077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30.668128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107.754733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30.670932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107.760658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30.676099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107.754776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30.674105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107.751513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30.674123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69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107.743380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30.680368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107.749861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30.679758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107.745794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30.680432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107.747811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30.680533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107.747886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30.678366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107.747919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30.676475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107.726480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30.678210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107.748005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30.674234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107.745709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30.674188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107.739690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30.678110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107.731004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30.678520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79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107.734371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30.676581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107.751288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30.681123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80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107.757685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30.678736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81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107.756042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30.680026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梁平智慧小镇规划</w:t>
            </w:r>
            <w:r>
              <w:rPr>
                <w:rFonts w:ascii="等线" w:hAnsi="等线" w:eastAsia="等线"/>
                <w:color w:val="000000"/>
                <w:sz w:val="18"/>
                <w:szCs w:val="18"/>
              </w:rPr>
              <w:t>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107.749485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30.681751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梁平中城供电所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107.801912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30.686200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梁平中心车站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107.773500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30.664656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梁平中学</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107.772391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30.661513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梁平中学</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107.773493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30.662550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梁平中学三教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107.764912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30.658603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梁平中学宿舍</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107.767414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30.660429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梁平中央公园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107.770512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30.651981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梁平中央星城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107.787247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30.674232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梁平中央星城北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107.787777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梁平中医院门诊大楼</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107.789039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30.672624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梁平种子公司</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107.739039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30.662953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梁平竹博园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107.737345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30.635355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梁平竹丰路</w:t>
            </w:r>
            <w:r>
              <w:rPr>
                <w:rFonts w:ascii="等线" w:hAnsi="等线" w:eastAsia="等线"/>
                <w:color w:val="000000"/>
                <w:sz w:val="18"/>
                <w:szCs w:val="18"/>
              </w:rPr>
              <w:t>029</w:t>
            </w:r>
            <w:r>
              <w:rPr>
                <w:rFonts w:hint="eastAsia" w:ascii="等线" w:hAnsi="等线" w:eastAsia="等线"/>
                <w:color w:val="000000"/>
                <w:sz w:val="18"/>
                <w:szCs w:val="18"/>
              </w:rPr>
              <w:t>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107.736119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30.673795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梁平竹海大道福德大道交叉口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107.729762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30.655202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梁平竹海蓝山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107.797800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30.668430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梁平竹海南山大门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107.796776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30.670109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梁平竹韵路小区交叉口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107.736560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30.658445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梁平竹贞路</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107.756532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30.659438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梁平祝家村无线机房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107.723055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30.613611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梁平啄子岩公园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107.767620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30.658435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梁平自勇科技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107.732222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30.661944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107.817530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30.746374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107.810149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30.749219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107.823800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30.740401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107.809639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30.723268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107.810883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30.725900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107.810825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30.732854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107.806326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30.739560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107.801071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30.741982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107.803071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30.746832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10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107.809731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30.742647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11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107.812796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30.745679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12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107.807040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30.745339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13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107.818865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30.737985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梁平合兴镇补点</w:t>
            </w:r>
            <w:r>
              <w:rPr>
                <w:rFonts w:ascii="等线" w:hAnsi="等线" w:eastAsia="等线"/>
                <w:color w:val="000000"/>
                <w:sz w:val="18"/>
                <w:szCs w:val="18"/>
              </w:rPr>
              <w:t>14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107.816351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30.744081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107.721543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30.594028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107.722018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30.589285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107.726703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30.628032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107.715200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30.621079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107.720990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30.608820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107.721273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30.602092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梁平明达镇补点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107.612857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30.737386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107.691948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30.661665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107.705569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30.661282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107.720750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30.654196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107.726802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30.651893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107.730408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30.648826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107.651543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30.663542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107.666560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30.661514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梁平仁贤镇补点</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107.683088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30.663909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梁平陈家湾补点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107.757375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30.650149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梁平陈家湾补点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107.762578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30.642919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梁平陈家湾补点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107.759235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30.643869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梁平陈家湾补点</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107.761095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30.642001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梁平陈家湾补点</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107.758541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30.642188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梁平陈家湾补点</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107.757030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30.641109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梁平汽车站补点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107.763233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30.644875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梁平颂和时代城补点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107.736274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30.670144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梁平断石桥补点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107.807708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30.716240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梁平断石桥补点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107.808043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30.719713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梁平福德工业区补点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107.715433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30.666460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梁平福德工业区补点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107.713673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30.671662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梁平福德工业区补点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107.719545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30.670574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梁平福德工业区补点</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107.719661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30.662792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梁平福德工业区补点</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107.719395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30.658195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梁平福德工业区补点</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107.725541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30.654921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梁平福德工业区补点</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107.745597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30.662501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工业园区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梁平三峡竹博园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107.755234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30.638857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梁平泰和公园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107.780438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30.660915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梁平合兴酿酒厂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107.823048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30.747270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梁平华家土地补点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107.767228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30.668635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梁平华家土地补点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107.766248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30.671766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梁平黄家老院子补点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107.771319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30.689726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梁平黄家老院子补点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107.770694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30.691006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梁平黄家老院子补点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107.770173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30.690266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梁平爱心老年公寓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107.752724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30.665508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梁平家富装饰材料厂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107.749814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30.664897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107.710092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30.613569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107.699945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30.607842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梁平民胜社区补点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107.785247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30.696477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梁平民胜社区补点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107.785104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30.694486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梁平民胜社区补点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107.782772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30.696442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107.541083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30.600780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107.545071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30.599942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107.544297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30.596976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107.537929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30.587204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107.543242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30.591676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107.548186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30.615250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107.554750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30.615437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梁平屏锦镇补点</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107.549157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30.611862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梁平千明社区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107.740086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30.644917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梁平瑞丰果业公司</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107.762019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30.665740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梁平社会福利服务中心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107.744191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30.645259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梁平王家河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107.733368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30.635580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梁平兴隆社区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107.779634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30.665857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改造社会资源</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梁平张星桥补点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107.749514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30.650380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梁平张星桥补点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107.756134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30.645705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梁平张星桥补点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107.754000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30.645804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107.635498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30.800601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107.636293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30.795425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107.630068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30.792927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107.630764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30.799183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107.625427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30.786759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107.623726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30.781619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107.613892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30.759422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107.613469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30.756737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107.612507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30.754528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107.603686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30.746611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107.586404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30.733928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107.583836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30.730733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107.587708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30.730194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14</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107.588168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30.727574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15</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107.580113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30.718676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16</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107.582700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30.721597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107.577722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30.712885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18</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107.575921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30.713788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19</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107.573787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30.713715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梁平百里竹海补点</w:t>
            </w:r>
            <w:r>
              <w:rPr>
                <w:rFonts w:ascii="等线" w:hAnsi="等线" w:eastAsia="等线"/>
                <w:color w:val="000000"/>
                <w:sz w:val="18"/>
                <w:szCs w:val="18"/>
              </w:rPr>
              <w:t>20</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107.573155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30.715812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梁平响滩</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107.499367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30.753369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梁平席帽</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107.615668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30.626689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107.630750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30.713491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中国重庆梁平正和</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107.563930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30.752150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107.969646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30.548749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107.514732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30.701632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梁平八一小学</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107.511944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30.548333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梁平柏树桥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107.500417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30.571325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梁平铁门新龙村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107.700942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30.487418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107.494414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30.513538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107.570555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30.627222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梁平波漩村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107.494643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30.820165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梁平同河村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107.642891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30.672461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梁平石牛村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107.623787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30.656726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梁平汉田坝</w:t>
            </w:r>
            <w:r>
              <w:rPr>
                <w:rFonts w:ascii="等线" w:hAnsi="等线" w:eastAsia="等线"/>
                <w:color w:val="000000"/>
                <w:sz w:val="18"/>
                <w:szCs w:val="18"/>
              </w:rPr>
              <w:t>_</w:t>
            </w:r>
            <w:r>
              <w:rPr>
                <w:rFonts w:hint="eastAsia" w:ascii="等线" w:hAnsi="等线" w:eastAsia="等线"/>
                <w:color w:val="000000"/>
                <w:sz w:val="18"/>
                <w:szCs w:val="18"/>
              </w:rPr>
              <w:t>虎城支局</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107.567628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30.848291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梁平柏家龙峰村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107.918861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30.582136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梁平荫平新拱村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107.584276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30.557163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梁平明亮</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107.672060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30.808260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梁平福禄青桥村委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107.956240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30.650199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中国重庆梁平铜坝村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107.550833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30.834167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中国重庆梁平四安桥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107.978333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30.653333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梁平高都</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107.788130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30.756986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梁平新益</w:t>
            </w:r>
            <w:r>
              <w:rPr>
                <w:rFonts w:ascii="等线" w:hAnsi="等线" w:eastAsia="等线"/>
                <w:color w:val="000000"/>
                <w:sz w:val="18"/>
                <w:szCs w:val="18"/>
              </w:rPr>
              <w:t>(</w:t>
            </w:r>
            <w:r>
              <w:rPr>
                <w:rFonts w:hint="eastAsia" w:ascii="等线" w:hAnsi="等线" w:eastAsia="等线"/>
                <w:color w:val="000000"/>
                <w:sz w:val="18"/>
                <w:szCs w:val="18"/>
              </w:rPr>
              <w:t>联通</w:t>
            </w:r>
            <w:r>
              <w:rPr>
                <w:rFonts w:ascii="等线" w:hAnsi="等线" w:eastAsia="等线"/>
                <w:color w:val="000000"/>
                <w:sz w:val="18"/>
                <w:szCs w:val="18"/>
              </w:rPr>
              <w:t>)</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107.626930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30.739546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梁平星桥微</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107.784722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30.728889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梁平青叶子</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107.812222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30.600833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107.941113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30.550833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梁平大石板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107.644644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30.499616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梁平新元村高速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107.464118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30.781251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中国重庆梁平同心村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107.625556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30.490833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中国重庆梁平田家寨</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107.472500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30.729444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中国重庆梁平阳光村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107.935833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30.633333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梁平坪山村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107.675887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30.718364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梁平四方微</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107.583611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30.577222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梁平砂石村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107.557791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30.838971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梁平乐园村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107.993369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30.661343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梁平三坝村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107.575475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30.528805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梁平双寨村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107.600068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30.550184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梁平易家大冲村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107.648280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30.593603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梁平大荣村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107.603132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30.838107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梁平翟溪村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107.988018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30.622518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梁平桂花村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107.871182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30.585339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梁平黑山高速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107.500028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30.739994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梁平陡梯村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107.655691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30.539955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梁平和睦村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107.550428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30.627329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梁平长岭村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107.599167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梁平联丰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108.011739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30.590348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中国重庆梁平峨眉山</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107.491071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30.711201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梁平狗儿桥高速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107.509482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30.731241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梁平七星场镇</w:t>
            </w:r>
            <w:r>
              <w:rPr>
                <w:rFonts w:ascii="等线" w:hAnsi="等线" w:eastAsia="等线"/>
                <w:color w:val="000000"/>
                <w:sz w:val="18"/>
                <w:szCs w:val="18"/>
              </w:rPr>
              <w:t>(</w:t>
            </w:r>
            <w:r>
              <w:rPr>
                <w:rFonts w:hint="eastAsia" w:ascii="等线" w:hAnsi="等线" w:eastAsia="等线"/>
                <w:color w:val="000000"/>
                <w:sz w:val="18"/>
                <w:szCs w:val="18"/>
              </w:rPr>
              <w:t>还建</w:t>
            </w:r>
            <w:r>
              <w:rPr>
                <w:rFonts w:ascii="等线" w:hAnsi="等线" w:eastAsia="等线"/>
                <w:color w:val="000000"/>
                <w:sz w:val="18"/>
                <w:szCs w:val="18"/>
              </w:rPr>
              <w:t>)</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107.481925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30.681866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梁平九龙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107.975833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30.678333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梁平平都</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107.646944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30.579722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梁平永兴</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107.738671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30.863914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梁平银河桥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107.916504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30.636286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梁平熊家沟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107.926111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梁平聚水村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107.834291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30.615592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梁平小山村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107.871786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30.793983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梁平桐岩村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107.797932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30.510326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梁平庙坝村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107.800837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30.531189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梁平九龙村村委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107.963358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30.678488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梁平杨柳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107.528611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30.518056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梁平竹寿园</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107.626753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30.802078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梁平百里竹海三登坡新益观景台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107.616343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30.737004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梁平合兴邮政</w:t>
            </w:r>
            <w:r>
              <w:rPr>
                <w:rFonts w:ascii="等线" w:hAnsi="等线" w:eastAsia="等线"/>
                <w:color w:val="000000"/>
                <w:sz w:val="18"/>
                <w:szCs w:val="18"/>
              </w:rPr>
              <w:t>_</w:t>
            </w:r>
            <w:r>
              <w:rPr>
                <w:rFonts w:hint="eastAsia" w:ascii="等线" w:hAnsi="等线" w:eastAsia="等线"/>
                <w:color w:val="000000"/>
                <w:sz w:val="18"/>
                <w:szCs w:val="18"/>
              </w:rPr>
              <w:t>城郊支局</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107.516670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30.683411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梁平高升村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107.721415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30.830001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梁平李家磅</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107.900006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30.607969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梁平邵新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107.525286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30.724028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梁平铁门服务区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107.728333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30.526389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梁平太平高速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107.599200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30.506860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中国重庆梁平人民村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107.619722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30.516389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梁平东明村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107.815720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30.670975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梁平龙马村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107.661813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30.767681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梁平民胜村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107.496597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30.543071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梁平曲水三合村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108.053342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30.704019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中国重庆梁平福山村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107.973611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30.703611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107.506666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30.774722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梁平鸡公嘴</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107.441562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30.731717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中国重庆梁平白云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107.729731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30.787271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梁平玉石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107.608055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30.706110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梁平土门</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108.009444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30.680278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中国重庆梁平岚垭丘</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107.624758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30.615862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梁平凤凰村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107.617981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30.717711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梁平三甲医院</w:t>
            </w:r>
            <w:r>
              <w:rPr>
                <w:rFonts w:ascii="等线" w:hAnsi="等线" w:eastAsia="等线"/>
                <w:color w:val="000000"/>
                <w:sz w:val="18"/>
                <w:szCs w:val="18"/>
              </w:rPr>
              <w:t>(</w:t>
            </w:r>
            <w:r>
              <w:rPr>
                <w:rFonts w:hint="eastAsia" w:ascii="等线" w:hAnsi="等线" w:eastAsia="等线"/>
                <w:color w:val="000000"/>
                <w:sz w:val="18"/>
                <w:szCs w:val="18"/>
              </w:rPr>
              <w:t>新</w:t>
            </w:r>
            <w:r>
              <w:rPr>
                <w:rFonts w:ascii="等线" w:hAnsi="等线" w:eastAsia="等线"/>
                <w:color w:val="000000"/>
                <w:sz w:val="18"/>
                <w:szCs w:val="18"/>
              </w:rPr>
              <w:t>)</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107.613666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30.509352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梁平王家沟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107.937777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30.683333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梁平邵沟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107.552140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30.728750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梁平袁驿石榴村村委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107.528174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30.747311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梁平平桥村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107.462367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30.734217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梁平礼仁村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107.552702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30.819122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梁平马梁村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107.480180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30.690852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梁平文圣村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107.651778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30.742306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梁平聚宝</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108.042094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30.678468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梁平龙河村村委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107.491041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30.594268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梁平碧山场镇</w:t>
            </w:r>
            <w:r>
              <w:rPr>
                <w:rFonts w:ascii="等线" w:hAnsi="等线" w:eastAsia="等线"/>
                <w:color w:val="000000"/>
                <w:sz w:val="18"/>
                <w:szCs w:val="18"/>
              </w:rPr>
              <w:t>_</w:t>
            </w:r>
            <w:r>
              <w:rPr>
                <w:rFonts w:hint="eastAsia" w:ascii="等线" w:hAnsi="等线" w:eastAsia="等线"/>
                <w:color w:val="000000"/>
                <w:sz w:val="18"/>
                <w:szCs w:val="18"/>
              </w:rPr>
              <w:t>袁驿支局</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107.483611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30.762778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107.685420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30.522371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梁平天塔村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107.963163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30.632923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梁平城南五星茶场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107.840045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30.620277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中国重庆梁平何家沟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107.509166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30.667778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梁平河源村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107.669497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30.788163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梁平沙井村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107.721331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30.767835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梁平玉石村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107.601421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30.699171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梁平集中村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107.567408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30.822912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梁平梅花村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107.798358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30.545532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梁平大龙村村委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107.892738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30.775505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中国重庆梁平千佛</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107.781944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30.525833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梁平聚奎出场口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107.582662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30.633688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梁平大宝寨</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107.936096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30.516262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梁平天台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107.656944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30.748611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梁平碑垭</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107.579210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30.806490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梁平猴子寨</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107.722433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30.567501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梁平邵新煤矿</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107.540753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30.713769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梁平新店子</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107.879722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30.616944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中国重庆梁平民主</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107.513333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30.767500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梁平聚宝村村委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108.057504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30.680914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梁平大观大兴村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107.796353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30.487422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梁平青锋村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107.927835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30.506474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梁平白仙村村委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107.893861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30.517532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梁平南溪村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107.944522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30.559417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中国重庆梁平金柱水泥厂</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107.513000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30.692000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107.539584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30.818856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梁平桐子</w:t>
            </w:r>
            <w:r>
              <w:rPr>
                <w:rFonts w:ascii="等线" w:hAnsi="等线" w:eastAsia="等线"/>
                <w:color w:val="000000"/>
                <w:sz w:val="18"/>
                <w:szCs w:val="18"/>
              </w:rPr>
              <w:t>_</w:t>
            </w:r>
            <w:r>
              <w:rPr>
                <w:rFonts w:hint="eastAsia" w:ascii="等线" w:hAnsi="等线" w:eastAsia="等线"/>
                <w:color w:val="000000"/>
                <w:sz w:val="18"/>
                <w:szCs w:val="18"/>
              </w:rPr>
              <w:t>虎城支局</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107.504095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30.804784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中国重庆梁平莲花村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107.763809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30.520485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梁平渝庙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107.708498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30.492048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梁平厂沟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107.771774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30.591072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梁平古家坪</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107.518659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30.722214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梁平箩斗寨</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107.818888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30.640000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梁平礼让铜河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107.643611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30.666388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梁平盐井口水库二</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107.526052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30.619211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梁平陶家沟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107.531121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30.649475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梁平大垭口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107.521683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30.659674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梁平碗厂沟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107.516826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30.662497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梁平大树村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107.508114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30.683899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梁平陶家沟加油站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107.520443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30.653518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梁平黄泥坝</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107.474047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30.766101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梁平拱桥场镇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107.714599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30.775611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梁平回龙长河村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107.451526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30.514836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梁平太平街道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107.590521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30.496459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梁平湖洋村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107.567808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30.606162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梁平义和村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107.824492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30.610229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梁平仁贤服务区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107.634281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30.666382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梁平路坪高速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107.522948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30.727331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梁平楚家壩高速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107.472779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30.774721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梁平新元高速服务区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107.458283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30.785421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梁平滩家沟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107.525278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30.714167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107.662132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30.514312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梁平城北狮子岩</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107.736111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30.726944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梁平百里竹海竹海村委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107.541228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30.655692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梁平楠木村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107.519207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30.564696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中国重庆梁平落岭</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107.498055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30.753611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梁平千丘村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107.565011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30.812339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梁忠高速礼让隧道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107.529854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30.710797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梁忠高速铁门隧道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107.733693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30.518684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梁平户槽村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107.905710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30.680693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梁平银新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107.687468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30.857576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梁平百里竹海赛白兔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107.565693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30.720602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梁平七斗村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107.566389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30.511944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梁平四安村村委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107.962439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30.664705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梁平长塘</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107.757500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30.546389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梁平河龙村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107.715389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30.791389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梁平青龙村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107.594444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30.655001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中国重庆梁平文化政府</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107.774167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30.818611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梁平牌楼村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107.955595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30.576113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梁平宝石村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108.069897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30.685931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梁平柏家三新村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107.929872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30.613654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梁平三河村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107.714698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30.848141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中国重庆梁平平安村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107.832777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30.572222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中国重庆梁平长山</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107.508889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30.713889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中国重庆梁平桐子</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107.503333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30.805000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梁平礼让场镇旁</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107.635009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30.686320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梁平万安村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107.672904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30.594259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梁平龙江微</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107.922222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30.556944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梁平小河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107.458720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30.723934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梁平屏锦场镇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107.550291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30.596037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梁平李家湾</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107.848666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30.771162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梁平野猫沟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107.872401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30.771806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梁平新元村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107.468931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30.783417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梁平河口村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107.571047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30.837511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梁平龙门都会村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107.703199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30.787931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梁平黑滩壩高速</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107.480667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30.771730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梁平长龙</w:t>
            </w:r>
            <w:r>
              <w:rPr>
                <w:rFonts w:ascii="等线" w:hAnsi="等线" w:eastAsia="等线"/>
                <w:color w:val="000000"/>
                <w:sz w:val="18"/>
                <w:szCs w:val="18"/>
              </w:rPr>
              <w:t>7</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107.640613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30.663026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梁平水岩村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107.446701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30.744862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梁平乐胜村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107.724162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30.783651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梁平红色村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107.630435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30.522871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梁平狮子村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107.463708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30.766624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梁平火石梁</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107.698351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30.814686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梁平龙门拱桥新农村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107.719525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30.774054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梁平袁驿邵沟农家乐</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107.563961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30.724143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梁平安胜龙印龙鼓泡</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107.733263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30.699849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梁平响鼓岭农家乐</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107.952813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30.719759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梁平礼让老营村马儿丘</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107.625607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30.686417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梁平敖家营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107.878136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30.796459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梁平青桥村六组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107.960107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30.639417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梁平高都村曾山寺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107.776474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30.756468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梁平秀才屋基</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107.755854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30.557430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梁平罗字城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108.071247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30.671270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梁平鲁家湾</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108.060146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30.673429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梁平斑竹村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107.970957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30.585240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梁平老庙坝</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107.802633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30.519943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梁平桂香村九组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107.943012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30.521741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梁平生基山酒厂</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107.992931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30.586475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梁平三新村村委会</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107.912663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30.612188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梁平回龙寒岭村委会</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107.470048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30.494851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梁平二环路唐家坡农家乐</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107.899509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30.686192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梁平新盛水库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107.727084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30.877853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梁平新盛万炉村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107.718983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30.863188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梁平回龙安居村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107.463190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30.511371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梁平安胜卫生院</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107.715695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30.690610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梁平荫平乐英村什刹</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107.550871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30.551679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梁平云龙东平村两塘</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107.668463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30.532591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梁平虎城礼仁村委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107.552248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30.802179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梁平石安联丰莫家坪</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108.007697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30.601461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梁平大岩口</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107.462251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30.510724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梁平山河村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107.494353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30.568031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梁平聚奎沙岭村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107.671053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30.612159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梁平虎城永和向家嘴</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107.520613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30.793123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960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梁平机场环线东</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107.799320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30.689362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961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梁平紫照川主庙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107.920137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30.545400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962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梁平猫儿洞</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107.506479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30.758276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r>
    </w:tbl>
    <w:p>
      <w:pPr>
        <w:jc w:val="both"/>
      </w:pPr>
    </w:p>
    <w:p>
      <w:pPr>
        <w:jc w:val="both"/>
      </w:pPr>
      <w:r>
        <w:br w:type="page"/>
      </w:r>
    </w:p>
    <w:p>
      <w:pPr>
        <w:pStyle w:val="2"/>
        <w:numPr>
          <w:ilvl w:val="0"/>
          <w:numId w:val="0"/>
        </w:numPr>
        <w:ind w:left="454"/>
      </w:pPr>
      <w:bookmarkStart w:id="120" w:name="_Toc55386044"/>
      <w:bookmarkStart w:id="121" w:name="_Toc56092737"/>
      <w:r>
        <w:rPr>
          <w:rFonts w:hint="eastAsia"/>
        </w:rPr>
        <w:t>附表四：远期</w:t>
      </w:r>
      <w:r>
        <w:t>5G</w:t>
      </w:r>
      <w:r>
        <w:rPr>
          <w:rFonts w:hint="eastAsia"/>
        </w:rPr>
        <w:t>新建基站一览表</w:t>
      </w:r>
      <w:bookmarkEnd w:id="120"/>
      <w:bookmarkEnd w:id="121"/>
    </w:p>
    <w:tbl>
      <w:tblPr>
        <w:tblStyle w:val="30"/>
        <w:tblW w:w="9440" w:type="dxa"/>
        <w:tblInd w:w="113" w:type="dxa"/>
        <w:tblLayout w:type="autofit"/>
        <w:tblCellMar>
          <w:top w:w="0" w:type="dxa"/>
          <w:left w:w="108" w:type="dxa"/>
          <w:bottom w:w="0" w:type="dxa"/>
          <w:right w:w="108" w:type="dxa"/>
        </w:tblCellMar>
      </w:tblPr>
      <w:tblGrid>
        <w:gridCol w:w="920"/>
        <w:gridCol w:w="3040"/>
        <w:gridCol w:w="1220"/>
        <w:gridCol w:w="1060"/>
        <w:gridCol w:w="960"/>
        <w:gridCol w:w="1260"/>
        <w:gridCol w:w="980"/>
      </w:tblGrid>
      <w:tr>
        <w:trPr>
          <w:trHeight w:val="280" w:hRule="atLeast"/>
        </w:trPr>
        <w:tc>
          <w:tcPr>
            <w:tcW w:w="92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序号</w:t>
            </w:r>
          </w:p>
        </w:tc>
        <w:tc>
          <w:tcPr>
            <w:tcW w:w="304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名称</w:t>
            </w:r>
          </w:p>
        </w:tc>
        <w:tc>
          <w:tcPr>
            <w:tcW w:w="12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经度</w:t>
            </w:r>
          </w:p>
        </w:tc>
        <w:tc>
          <w:tcPr>
            <w:tcW w:w="106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纬度</w:t>
            </w:r>
          </w:p>
        </w:tc>
        <w:tc>
          <w:tcPr>
            <w:tcW w:w="96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场景</w:t>
            </w:r>
          </w:p>
        </w:tc>
        <w:tc>
          <w:tcPr>
            <w:tcW w:w="126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属性</w:t>
            </w:r>
          </w:p>
        </w:tc>
        <w:tc>
          <w:tcPr>
            <w:tcW w:w="98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业务需求</w:t>
            </w:r>
          </w:p>
        </w:tc>
      </w:tr>
      <w:tr>
        <w:tblPrEx>
          <w:tblCellMar>
            <w:top w:w="0" w:type="dxa"/>
            <w:left w:w="108" w:type="dxa"/>
            <w:bottom w:w="0" w:type="dxa"/>
            <w:right w:w="108" w:type="dxa"/>
          </w:tblCellMar>
        </w:tblPrEx>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w:t>
            </w:r>
            <w:r>
              <w:rPr>
                <w:rFonts w:ascii="等线" w:hAnsi="等线" w:eastAsia="等线"/>
                <w:color w:val="000000"/>
                <w:sz w:val="18"/>
                <w:szCs w:val="18"/>
              </w:rPr>
              <w:t>G42</w:t>
            </w:r>
            <w:r>
              <w:rPr>
                <w:rFonts w:hint="eastAsia" w:ascii="等线" w:hAnsi="等线" w:eastAsia="等线"/>
                <w:color w:val="000000"/>
                <w:sz w:val="18"/>
                <w:szCs w:val="18"/>
              </w:rPr>
              <w:t>高速服务区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107.812787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30.677112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梁平爱国</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107.641001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30.545100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梁平安丰村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107.567987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30.701665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梁平安复村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107.728889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30.689167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梁平安宁宝坪</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30.637777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梁平安宁南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30.642778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107.720655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30.691900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梁平安胜交叉口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107.722363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30.691135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梁平安胜拉远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107.731944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30.688876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梁平安胜镇政府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107.720020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30.690105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107.776944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30.684444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梁平八角村好家苑农家乐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107.776821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30.684457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梁平白角</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107.661388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30.835556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梁平白沙村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107.804134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30.664163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梁平白沙高铁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107.805472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30.665085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107.902500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30.588001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107.902500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30.593889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梁平柏家场口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107.901150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30.596519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梁平柏家派出所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107.906110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30.589040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107.905274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30.592320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梁平斑竹园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30.589100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梁平宝花</w:t>
            </w:r>
            <w:r>
              <w:rPr>
                <w:rFonts w:ascii="等线" w:hAnsi="等线" w:eastAsia="等线"/>
                <w:color w:val="000000"/>
                <w:sz w:val="18"/>
                <w:szCs w:val="18"/>
              </w:rPr>
              <w:t>1</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30.519800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梁平宝花</w:t>
            </w:r>
            <w:r>
              <w:rPr>
                <w:rFonts w:ascii="等线" w:hAnsi="等线" w:eastAsia="等线"/>
                <w:color w:val="000000"/>
                <w:sz w:val="18"/>
                <w:szCs w:val="18"/>
              </w:rPr>
              <w:t>4</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107.615000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30.528000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梁平宝花</w:t>
            </w:r>
            <w:r>
              <w:rPr>
                <w:rFonts w:ascii="等线" w:hAnsi="等线" w:eastAsia="等线"/>
                <w:color w:val="000000"/>
                <w:sz w:val="18"/>
                <w:szCs w:val="18"/>
              </w:rPr>
              <w:t>6</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梁平宝花村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30.527600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梁平宝花范家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107.621000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30.531300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梁平碧山街道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107.451670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30.773040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梁平碧山政府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107.457888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30.769024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梁平碧山中学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107.456818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30.771422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梁平朝天马</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107.918000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30.745800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梁平城南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107.845277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30.636667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梁平城南政府</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107.845170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30.636530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梁平搭水桥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107.901000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30.740400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梁平大福村十组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107.820251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30.688166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梁平大福灯杆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107.810675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30.697147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107.808841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30.553521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梁平大观场镇新</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107.806788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30.555849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梁平大观合作社</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107.809200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30.559160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梁平大观街道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107.810530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30.557939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梁平大观侨都华联购物中心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107.808907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30.557803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107.805865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30.555319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梁平大河坝水库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107.790616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30.654495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梁平大路湾</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107.884000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30.729900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梁平大坪</w:t>
            </w:r>
            <w:r>
              <w:rPr>
                <w:rFonts w:ascii="等线" w:hAnsi="等线" w:eastAsia="等线"/>
                <w:color w:val="000000"/>
                <w:sz w:val="18"/>
                <w:szCs w:val="18"/>
              </w:rPr>
              <w:t>1</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107.582000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30.501500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梁平大坪</w:t>
            </w:r>
            <w:r>
              <w:rPr>
                <w:rFonts w:ascii="等线" w:hAnsi="等线" w:eastAsia="等线"/>
                <w:color w:val="000000"/>
                <w:sz w:val="18"/>
                <w:szCs w:val="18"/>
              </w:rPr>
              <w:t>2</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30.496700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梁平大坪</w:t>
            </w:r>
            <w:r>
              <w:rPr>
                <w:rFonts w:ascii="等线" w:hAnsi="等线" w:eastAsia="等线"/>
                <w:color w:val="000000"/>
                <w:sz w:val="18"/>
                <w:szCs w:val="18"/>
              </w:rPr>
              <w:t>3</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30.494500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梁平大塘</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107.596306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30.743279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梁平东坪何家包</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107.661000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30.553700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梁平东山村八组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107.809341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梁平陡梯关家岩</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107.656000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30.550500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梁平陡梯灰地湾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30.542900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梁平陡梯烂石山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107.648000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30.548800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梁平陡梯猫儿梁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107.646000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30.544500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梁平梵华禅境</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107.694175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30.598927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梁平翡翠谷</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107.600037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30.747449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梁平福和</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107.668055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30.547222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梁平福和高速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107.672000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30.562400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梁平福和刘家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30.558400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梁平福和小湾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107.675000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30.567500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107.978055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30.655556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梁平福禄电管所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107.969660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30.658670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梁平福禄法院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107.970928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30.657005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梁平福禄河西街交叉口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107.965164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30.654014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梁平福禄街道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107.973221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30.656431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梁平福禄天香名都</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107.969341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30.656188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梁平福禄天香名都东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107.967655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30.656195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梁平福禄卫生院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107.968398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30.655183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梁平福禄镇政府</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107.968885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30.657494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梁平福禄镇政府</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107.965555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梁平福禄中心小学</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107.967388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30.654110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梁平福禄中学高中部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107.964717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30.657270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107.873888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30.772222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梁平复平国家电网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107.880528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30.772674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107.878680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30.770972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107.880227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30.771556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梁平高铁太平站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107.601000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30.513600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梁平关门石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107.868000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30.722800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梁平关门石</w:t>
            </w:r>
            <w:r>
              <w:rPr>
                <w:rFonts w:ascii="等线" w:hAnsi="等线" w:eastAsia="等线"/>
                <w:color w:val="000000"/>
                <w:sz w:val="18"/>
                <w:szCs w:val="18"/>
              </w:rPr>
              <w:t>3</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107.863000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30.722700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梁平观音洞</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107.562835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30.687349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梁平观音洞</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107.538055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30.660833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梁平光明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107.731132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30.630555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梁平光明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107.731944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30.631111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梁平郭家石板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107.735288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30.628108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107.818611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30.742778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梁平合兴农贸市场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107.814747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30.741455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107.679444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30.580000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107.683116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30.582469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107.681000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30.577300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梁平和林高速</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30.577900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梁平和林高铁</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107.686001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30.580500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梁平和林下场口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107.678833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30.579804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梁平和林幼儿园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107.678001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30.579200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梁平和林幼儿园</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107.678144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30.579168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107.681010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30.581343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梁平河丘湾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107.678300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30.574116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梁平葫芦坝</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107.504724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30.746305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107.538913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30.812205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107.541388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30.812500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99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梁平虎城场镇虎城中学</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107.543598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30.815389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梁平虎城幼儿园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107.542778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30.814722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梁平虎南路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107.537777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30.810001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梁平护云</w:t>
            </w:r>
            <w:r>
              <w:rPr>
                <w:rFonts w:ascii="等线" w:hAnsi="等线" w:eastAsia="等线"/>
                <w:color w:val="000000"/>
                <w:sz w:val="18"/>
                <w:szCs w:val="18"/>
              </w:rPr>
              <w:t>4</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107.626000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30.532300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梁平护云村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30.534700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梁平护云关山坡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30.537300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梁平护云康家坡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107.634000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30.539700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梁平花庙村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107.645098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30.815711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梁平花园村灯杆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107.813907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30.709786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梁平黄泥</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30.649100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梁平黄泥东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30.624000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107.552777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30.552222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梁平回龙场镇</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107.481600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30.530830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梁平回龙派出所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107.487951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30.535008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梁平回龙卫生院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107.481699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30.528883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107.483937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30.533176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107.706000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30.603100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梁平金带工商所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107.702184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30.605206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梁平金带光明街岔路口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107.697600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30.601348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梁平金带光明幼儿园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107.699178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30.603112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梁平金带街道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107.705833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30.607778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梁平金带双桂中学</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107.706650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30.609553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107.703884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30.606865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107.705460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30.608470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梁平金带镇</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107.705273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30.607851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107.593792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30.635033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梁平聚奎场镇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107.599602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30.637792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梁平聚奎后街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107.597321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30.636748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107.589294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30.634269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梁平聚奎镇政府</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107.594342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30.637958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129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梁平老鹰窝</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107.617445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30.763041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梁平老鹰窝大梨坝</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107.615707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30.756903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梁平梨子园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107.852000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30.713800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梁平梨子园</w:t>
            </w:r>
            <w:r>
              <w:rPr>
                <w:rFonts w:ascii="等线" w:hAnsi="等线" w:eastAsia="等线"/>
                <w:color w:val="000000"/>
                <w:sz w:val="18"/>
                <w:szCs w:val="18"/>
              </w:rPr>
              <w:t>2</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107.858000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30.717300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梁平礼让场镇</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107.630429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30.689029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梁平礼让场镇</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107.635082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30.688910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梁平礼让场镇</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107.631488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30.685091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梁平李家岩上</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107.837000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30.704900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梁平李家岩上</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107.842000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30.707900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梁平两路</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107.773888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30.691667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梁平猎神</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107.615421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30.776181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107.688888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30.797222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107.689308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30.797161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107.684760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30.792951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梁平龙门龙凤超市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107.689803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30.801450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107.687146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30.798808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梁平龙门中学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107.685972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30.795977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梁平龙磨村</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107.897001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30.738700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梁平龙磨村</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107.897211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30.739404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梁平龙胜政府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107.553132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30.774148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梁平龙滩桥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107.845000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30.712800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梁平罗汉村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30.660833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梁平马道子</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107.542911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30.683063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107.656703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30.729264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梁平明达明兴路交叉口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107.658983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30.729027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梁平明达商行</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107.658173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30.727346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梁平明达小学旁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107.655910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30.724225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梁平明达镇财政所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107.656905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30.726060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梁平明达中学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107.658800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30.725030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107.885833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30.661389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梁平蟠龙镇农贸市场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107.851055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30.634328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梁平蟠龙镇卫生院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107.848958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30.632913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梁平蟠龙镇小学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107.847786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30.636528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107.848947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30.635100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107.545556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30.591389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梁平屏锦老汽车站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107.539430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30.594190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梁平屏锦七桥出场口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107.546214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30.608258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梁平屏锦万年</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107.544130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30.605780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梁平屏锦下场口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107.536730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30.585180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梁平屏锦邮政</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107.541388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30.596389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169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梁平屏锦邮政</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107.541780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30.596722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梁平屏锦云屏路十字街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107.543667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30.593387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梁平屏锦纸厂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107.537167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30.614005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梁平屏锦中街</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107.539627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30.589796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梁平屏锦中街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107.541410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30.592866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梁平屏锦中街</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107.547197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30.612672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梁平屏锦中学</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107.543571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30.590547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梁平七间桥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107.548055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30.612778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梁平七桥开元小区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107.551214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30.617047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梁平七桥客运站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107.552619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30.612071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梁平七桥派出所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107.543261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30.613110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梁平七桥水库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107.531666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30.614444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梁平七星场镇</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107.484032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30.680353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梁平七星交叉口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107.480047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30.680756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梁平骑龙村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107.912000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30.742300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梁平千合五组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107.712000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30.611000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梁平千明村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30.639722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梁平清都</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107.715000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30.680556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梁平清寨村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30.734500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梁平曲水初中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108.045192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30.696221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梁平曲水乡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108.048290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30.697680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梁平群乐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107.573171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30.483492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梁平群乐高铁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30.485400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梁平人合村三组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30.620200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梁平仁安</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107.480660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30.676550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107.679166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梁平仁贤岔路口</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107.671041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30.658314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梁平仁贤场口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107.686428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30.661919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梁平仁贤电信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107.682881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30.661573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梁平仁贤派出所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107.681494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30.658975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199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梁平仁贤天圣大药房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107.675876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30.658796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梁平仁贤中学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107.677832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30.663591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梁平三登坡</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107.611804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30.745913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梁平三清村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107.638332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30.517153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梁平沙坝村一组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107.818478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30.685262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梁平沙坝水库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107.816111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梁平沙坝水库</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107.826301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30.680431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梁平沙坝水库北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107.811236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30.678611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梁平上八</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107.802084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30.697117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梁平神龙坡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107.544004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30.605599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梁平石安街道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107.974722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30.589722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梁平石安新街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107.975695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30.592603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梁平石安镇政府</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107.973497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30.594028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梁平石板村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107.827355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30.699585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梁平石龙村一组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107.700000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30.597800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梁平石龙三组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107.694000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30.594100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梁平石马山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107.800555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30.664722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梁平双凤煤矿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107.550024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30.773349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梁平双桂堂背后</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107.701121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30.609427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梁平双桂堂东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107.702553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30.608438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梁平双桂堂西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107.701129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30.607725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梁平水通</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30.525800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梁平司令部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107.812777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30.686111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107.585833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30.493333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梁平太平</w:t>
            </w:r>
            <w:r>
              <w:rPr>
                <w:rFonts w:ascii="等线" w:hAnsi="等线" w:eastAsia="等线"/>
                <w:color w:val="000000"/>
                <w:sz w:val="18"/>
                <w:szCs w:val="18"/>
              </w:rPr>
              <w:t>2</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30.518400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梁平太平</w:t>
            </w:r>
            <w:r>
              <w:rPr>
                <w:rFonts w:ascii="等线" w:hAnsi="等线" w:eastAsia="等线"/>
                <w:color w:val="000000"/>
                <w:sz w:val="18"/>
                <w:szCs w:val="18"/>
              </w:rPr>
              <w:t>8</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107.588000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30.503600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梁平太平高铁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107.596000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30.509900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梁平泰和路灯杆</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107.779827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30.659839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梁平天宝村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107.876000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30.728600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梁平天福村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107.517092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30.510015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梁平天心堂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107.589091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30.733858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梁平天竺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107.815555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30.690278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107.706944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30.501666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107.708018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30.499239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107.710621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30.501621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梁平土桥村三组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107.816168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30.679837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梁平万善桥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107.691000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30.594600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梁平汪家河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107.742062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30.628734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梁平温家河坝</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107.718000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30.611900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梁平文峰塔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107.746666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30.678611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239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107.769564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30.813712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梁平文化初中</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107.776571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30.811831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梁平文化街道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107.773906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30.814297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梁平文化啤酒批发部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107.772072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30.817727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107.775187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30.816172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梁平伍家庵梁子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梁平小观音岩</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107.724000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30.621000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梁平协合村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30.615100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梁平协和村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30.591900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107.723111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30.843611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107.724722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30.846111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梁平新盛黄果小区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107.725989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30.842021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梁平新盛黄果小区</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107.725082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30.842411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梁平新盛联盟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107.734156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30.848268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梁平新盛粮站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107.727961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30.846704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梁平新盛明珠家具</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107.730985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30.849578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梁平新盛中学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107.719981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30.839641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梁平新增</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107.586000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30.502200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梁平新增</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107.653000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30.549100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梁平新增</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107.687000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30.582700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259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梁平新增</w:t>
            </w:r>
            <w:r>
              <w:rPr>
                <w:rFonts w:ascii="等线" w:hAnsi="等线" w:eastAsia="等线"/>
                <w:color w:val="000000"/>
                <w:sz w:val="18"/>
                <w:szCs w:val="18"/>
              </w:rPr>
              <w:t>4</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107.698000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30.595300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梁平新增</w:t>
            </w:r>
            <w:r>
              <w:rPr>
                <w:rFonts w:ascii="等线" w:hAnsi="等线" w:eastAsia="等线"/>
                <w:color w:val="000000"/>
                <w:sz w:val="18"/>
                <w:szCs w:val="18"/>
              </w:rPr>
              <w:t>5</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107.671000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30.562800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梁平新增</w:t>
            </w:r>
            <w:r>
              <w:rPr>
                <w:rFonts w:ascii="等线" w:hAnsi="等线" w:eastAsia="等线"/>
                <w:color w:val="000000"/>
                <w:sz w:val="18"/>
                <w:szCs w:val="18"/>
              </w:rPr>
              <w:t>6</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107.861000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30.719800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梁平新增</w:t>
            </w:r>
            <w:r>
              <w:rPr>
                <w:rFonts w:ascii="等线" w:hAnsi="等线" w:eastAsia="等线"/>
                <w:color w:val="000000"/>
                <w:sz w:val="18"/>
                <w:szCs w:val="18"/>
              </w:rPr>
              <w:t>7</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107.887000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30.731700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梁平星桥街道</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30.722222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梁平星桥街道</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107.787222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30.720001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梁平星桥街道</w:t>
            </w:r>
            <w:r>
              <w:rPr>
                <w:rFonts w:ascii="等线" w:hAnsi="等线" w:eastAsia="等线"/>
                <w:color w:val="000000"/>
                <w:sz w:val="18"/>
                <w:szCs w:val="18"/>
              </w:rPr>
              <w:t>3</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107.784235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30.717170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梁平兴华</w:t>
            </w:r>
            <w:r>
              <w:rPr>
                <w:rFonts w:ascii="等线" w:hAnsi="等线" w:eastAsia="等线"/>
                <w:color w:val="000000"/>
                <w:sz w:val="18"/>
                <w:szCs w:val="18"/>
              </w:rPr>
              <w:t>1</w:t>
            </w:r>
            <w:r>
              <w:rPr>
                <w:rFonts w:hint="eastAsia" w:ascii="等线" w:hAnsi="等线" w:eastAsia="等线"/>
                <w:color w:val="000000"/>
                <w:sz w:val="18"/>
                <w:szCs w:val="18"/>
              </w:rPr>
              <w:t>组</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107.590000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30.508800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30.575800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梁平兴茂熙街</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107.783651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30.658985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梁平兴山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107.510556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30.738333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梁平杏石溪</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30.585100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梁平腰塘</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107.537222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30.583889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107.585770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30.534840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梁平荫平滨河小区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107.578864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30.541362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梁平荫平场镇</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107.575790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30.543170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梁平荫平供电所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107.575067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30.541191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梁平荫平中学</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107.576062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30.538436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梁平迎水</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107.787222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30.701388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梁平迎水</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107.787583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30.701404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梁平永合</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107.530556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30.806944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梁平柚香园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107.829722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30.715556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梁平渝江路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107.546984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30.610075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梁平雨家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107.824444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30.701944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梁平雨家山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107.823814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30.707393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梁平袁新街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107.513888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30.735278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107.513889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30.744444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107.510261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30.742278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梁平袁驿场镇</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107.518798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30.740482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梁平袁驿南街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107.514874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30.736756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梁平袁驿邵沟电石厂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107.577388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30.722211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梁平袁驿卫生院</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107.512779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30.739256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梁平袁驿中学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107.518484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30.737402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梁平云峰村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107.542027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30.615276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107.646134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30.522839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梁平云龙场镇</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107.638976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30.522761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梁平云龙电影院</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107.640495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30.522105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梁平云龙护云村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107.641001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30.545001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梁平云龙粮站</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107.645601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30.523031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梁平云龙粮站</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107.642243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30.524306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299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梁平云龙明珠家私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107.636631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30.521436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梁平云龙农商行</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107.643795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30.525828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107.647678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30.529877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107.644357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30.529821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梁平云龙中心小学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107.645151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30.528043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梁平云荫路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107.584166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30.535000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梁平张河黄家河坝</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107.679000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30.571800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梁平长榜村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108.048797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30.698693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梁平正直</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107.557222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30.695556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梁平中永村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107.686001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30.588001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梁平竹丰水库</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107.632370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30.796911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梁平竹丰水库</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107.639151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30.805411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梁平竹海南山锦城西岔路口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107.796011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30.668732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梁平竹山</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107.577693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30.715757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梁平竹山</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107.571725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30.717749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梁平竹山公安局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107.576209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30.716888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梁平竹山镇政府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107.575722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30.718113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梁平祝家冲</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30.624000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交通干线</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107.933851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30.533451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w:t>
            </w:r>
            <w:r>
              <w:rPr>
                <w:rFonts w:ascii="等线" w:hAnsi="等线" w:eastAsia="等线"/>
                <w:color w:val="000000"/>
                <w:sz w:val="18"/>
                <w:szCs w:val="18"/>
              </w:rPr>
              <w:t>2</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107.933888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30.533889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107.937542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30.532825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梁平紫照交叉口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107.936523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30.534670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梁平紫照镇政府</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107.936534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30.537267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梁平信发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107.768961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30.777530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梁平石安</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107.978055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30.598333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107.898728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30.544521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梁平八林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107.501604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30.835551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107.564033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30.528133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梁平长乐村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107.573132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30.484312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梁平高都村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107.776337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30.765707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梁平滴水</w:t>
            </w:r>
            <w:r>
              <w:rPr>
                <w:rFonts w:ascii="等线" w:hAnsi="等线" w:eastAsia="等线"/>
                <w:color w:val="000000"/>
                <w:sz w:val="18"/>
                <w:szCs w:val="18"/>
              </w:rPr>
              <w:t>2G</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107.840810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30.588370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中国重庆梁平高白</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107.914167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30.589444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中国重庆梁平久安</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107.788611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30.743333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梁平城南加油站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107.842783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30.643164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中国重庆梁平新店子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107.894559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30.619901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梁平秦家坝</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107.721066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30.517166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梁平陈家村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107.492987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30.781642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梁平大龙</w:t>
            </w:r>
            <w:r>
              <w:rPr>
                <w:rFonts w:ascii="等线" w:hAnsi="等线" w:eastAsia="等线"/>
                <w:color w:val="000000"/>
                <w:sz w:val="18"/>
                <w:szCs w:val="18"/>
              </w:rPr>
              <w:t>2G</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107.895825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30.766022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梁平平安村村委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107.822192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30.599607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中国重庆梁平明中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107.656245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30.692209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339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梁平油坊坡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107.504166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30.505001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梁平拱桥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107.710012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30.770277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中国重庆梁平石河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107.880000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30.632778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梁平王家岩</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107.641800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30.485180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梁平红八村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107.673362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30.731362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梁平长久村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107.646363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30.761307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梁平龙山村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108.025762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30.698851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梁平回龙兴农村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107.476708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30.542179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梁平金刚村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107.704242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30.810251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梁平光华村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107.590813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30.524113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349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梁平茂林村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107.626343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30.578802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梁平龙凤村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107.778307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30.711245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梁平龙坪村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107.991640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30.569706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梁平里程村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107.991148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30.576351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中国重庆梁平大来村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107.596666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30.643333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梁平新路</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107.832228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30.571470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梁平明达农商行</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107.659301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30.731551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梁平铁门新场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107.722813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30.514523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梁平龙溪村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107.531503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30.606815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梁平和平</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107.793888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30.801388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梁平八一村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107.515893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30.540818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梁平河井村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107.773951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30.716333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梁平三官村村委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107.685221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30.775381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梁平文化镇永远村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107.777778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30.784722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梁平三寨村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107.754722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30.798611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梁平新路村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107.823005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30.573094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梁平龙印村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107.746692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30.699843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中国重庆梁平城东生态林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107.952810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30.719764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中国重庆梁平石安街道</w:t>
            </w:r>
            <w:r>
              <w:rPr>
                <w:rFonts w:ascii="等线" w:hAnsi="等线" w:eastAsia="等线"/>
                <w:color w:val="000000"/>
                <w:sz w:val="18"/>
                <w:szCs w:val="18"/>
              </w:rPr>
              <w:t>T</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107.974444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30.603889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梁平金柱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107.513347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30.691711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369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梁平高家院</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107.902379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30.569232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梁平青平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107.457778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30.721776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梁平龙胜三和村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107.593218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30.812076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372</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梁平红星村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107.533607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30.533510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梁平重阳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107.567016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30.558996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梁平胜名</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107.505290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30.707610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梁平两路村村委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107.766144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30.701088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中国重庆梁平高峰村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107.718286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30.704388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377</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梁平复平永和村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107.866737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30.767839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梁平叶岩村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107.492442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30.738894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梁平响滩村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107.494272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30.762559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梁平五角村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107.547102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30.829193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梁平虎城大兴村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107.523963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30.823829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梁平清滩村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107.529651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30.779133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梁平平滩村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107.463882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30.683479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梁平黄磅岭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107.505383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30.707697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107.699722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30.565833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梁平高庙子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107.474528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30.698352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梁平长塘二组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107.745040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30.538394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梁平黑天池</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107.860227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30.804319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梁平石家岩</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107.478850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30.741512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梁平老龙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107.688497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30.474519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梁平蔡家村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107.686985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30.550530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梁平马鞍村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107.718767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30.794461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梁平公平村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107.554168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30.753172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梁平龙胜双凤村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107.566261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30.781789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梁平新口村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107.579963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30.798716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梁平安乐</w:t>
            </w:r>
            <w:r>
              <w:rPr>
                <w:rFonts w:ascii="等线" w:hAnsi="等线" w:eastAsia="等线"/>
                <w:color w:val="000000"/>
                <w:sz w:val="18"/>
                <w:szCs w:val="18"/>
              </w:rPr>
              <w:t>_</w:t>
            </w:r>
            <w:r>
              <w:rPr>
                <w:rFonts w:hint="eastAsia" w:ascii="等线" w:hAnsi="等线" w:eastAsia="等线"/>
                <w:color w:val="000000"/>
                <w:sz w:val="18"/>
                <w:szCs w:val="18"/>
              </w:rPr>
              <w:t>大观支局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107.774532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30.576452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梁平七斗寨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107.564166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30.528333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梁平桂湾村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107.584565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30.596847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399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梁平胜名村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107.500137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30.718204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梁平顺安</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107.618002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30.647097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梁平二环路两路招呼站</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107.757108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30.710701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中国重庆梁平横梁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107.567222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30.583056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梁平川西村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107.637714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30.694505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中国重庆梁平阳合</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107.740302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30.772369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梁平双盐村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107.818333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30.790278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梁平齐河三组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107.604691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30.679359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梁平朝阳村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107.676177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30.751908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梁平东山村村委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107.808063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30.658963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409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梁平曲水中鹿村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108.025555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30.662222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梁平乐英村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107.564444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30.548889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梁平中丰村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108.037707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30.695365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梁平中屋村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108.017942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30.671116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107.902500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30.585000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梁平横梁村村委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107.565865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30.587653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梁平福星山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107.515422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30.730399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梁平胜利水库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107.719863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30.712229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梁平千福</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107.781711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30.520306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梁平蒋家湾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107.475762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30.520461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419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梁平盐井口水库一</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107.525774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30.618982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梁平五一五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107.501024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30.690234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梁平八角庙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107.514344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30.703868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梁平联盟茅店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107.742247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30.851191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梁平蟠龙白雀村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107.840701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30.628501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梁平回龙寒岭加油站</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107.457849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30.501624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梁平齐河村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107.612031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30.674495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梁平狮子桥高速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107.490371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30.756209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梁平东山村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107.810773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30.665019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梁平云阳村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107.463324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30.522751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429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梁平城北横山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107.764746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30.736356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430</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梁平新益</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107.622500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30.742500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中国重庆梁平楚家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107.591388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30.826667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梁平聂家</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107.526110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30.835001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梁平百里竹海大塘村谢家河</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107.594279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30.734119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景区</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梁平蟠龙观景台</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107.883253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30.682062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梁平福禄佛印山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107.998196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30.712084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梁平高元村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107.974431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30.558875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梁平柳河村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107.515342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30.775279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梁平字库村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107.699335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30.726085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439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梁平蟠龙老林村委会</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107.789452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30.591078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梁平铁树村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107.739167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30.827501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梁平海峰村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107.586081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30.655855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梁平高碑村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107.588333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30.618611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梁平安寿村</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107.572501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30.639444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444</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梁忠高速南华山隧道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107.726758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30.560804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梁忠高速三龙隧道</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107.723072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30.577657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梁平屏锦向家湾</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107.523434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30.580282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梁平熊家湾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107.572335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30.565513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梁平王家垭口</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107.486618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30.784141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449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梁平沙湾村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107.717605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30.585881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梁平老营村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107.617254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30.688799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梁平联兴村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107.518889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30.716667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梁平陆坪村村委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107.976876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30.696188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453</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梁平井坝村村委</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107.698895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30.711232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梁平花生坡</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107.513676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30.673109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梁平蟠龙山碎石场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107.859213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30.650715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梁平福来村搬迁</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107.656755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30.718332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梁平东山林场</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107.819599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30.648491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梁平莲花村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107.943470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30.594860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459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梁平龙桥村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107.471512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30.714668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梁平屏锦腰塘</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107.529295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30.571995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461</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梁平老城南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107.826218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30.614421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梁平东平村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107.678647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30.544873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梁平爱和村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107.602351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30.615778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梁平芋禾村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107.553862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30.585888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梁平回龙山</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107.861461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30.769011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梁平桃园村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107.451727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30.558887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梁平凉风垭</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107.842911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30.648126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梁平古洞碎石场</w:t>
            </w:r>
            <w:r>
              <w:rPr>
                <w:rFonts w:ascii="等线" w:hAnsi="等线" w:eastAsia="等线"/>
                <w:color w:val="000000"/>
                <w:sz w:val="18"/>
                <w:szCs w:val="18"/>
              </w:rPr>
              <w:t>1</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107.816661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30.609607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469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梁平新拱桥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107.622229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30.673396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梁平响滩高速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107.492887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30.748118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梁平长春村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107.774861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30.802500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梁平复平安平陈家坪</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107.887699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30.760597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梁平群乐村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107.580347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30.486712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梁平黑滩</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107.884287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30.774558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475</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梁平堰坝桥</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107.892664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30.780319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梁平大观安乐温家大田</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107.763951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30.557579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梁平福禄紫龙村小</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108.011123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30.644796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梁平袁驿邵沟村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107.542725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30.727423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479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梁平桂香村沙包</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107.950182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30.535206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梁平七星平滩村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107.460961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30.695198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梁平汤家湾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107.780940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30.579413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梁平破山塔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107.778508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30.588407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梁平老林村柏树湾</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107.777896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30.595877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梁平老林村村委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107.791342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30.583767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梁平谭家坪</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107.948013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30.641248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梁平高都村玉皇观</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107.780468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30.761351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梁平高都村五组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107.782912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30.744121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梁平紫照小学</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107.940744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30.532502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489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梁平桂香村十组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107.940766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30.510720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梁平岳家湾大桥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108.010723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30.561031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梁平聚宝谭家院子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108.063062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30.666911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梁平辣坪村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107.947573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30.618720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梁平三新村六组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107.904566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30.612703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梁平星桥高都十月</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107.781168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30.751281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梁平三新村七组</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107.911985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30.622024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496</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梁平聚奎桥铺村</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107.633422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30.640640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梁平福禄福山南沟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107.988763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30.691711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498</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梁平千福街道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107.782326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30.540931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499</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梁平新盛联盟茅店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107.747720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30.851890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梁平文化齐发火红寨</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107.752074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30.779899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梁平七星水库</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107.493312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30.686972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梁平和林车路沟煤矿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107.697121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30.538809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梁平蟠龙五星田霸子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107.823096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30.626642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梁平大观新路村横板桥</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107.831425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30.578439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梁平荫平新拱村委</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107.582399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30.566461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506</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梁平千福街</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107.779023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30.528151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507</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梁平土门字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107.664756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30.613995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508</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梁平福禄土包寨</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107.988152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30.668931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509</w:t>
            </w:r>
          </w:p>
        </w:tc>
        <w:tc>
          <w:tcPr>
            <w:tcW w:w="304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梁平福禄天塔村金山</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107.982948 </w:t>
            </w:r>
          </w:p>
        </w:tc>
        <w:tc>
          <w:tcPr>
            <w:tcW w:w="10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30.637263 </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510</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梁平铁门张家院子</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107.672098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30.454941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511</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梁平和林政府对面老街</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107.697077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30.584328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512</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w:t>
            </w:r>
            <w:r>
              <w:rPr>
                <w:rFonts w:ascii="等线" w:hAnsi="等线" w:eastAsia="等线"/>
                <w:color w:val="000000"/>
                <w:sz w:val="18"/>
                <w:szCs w:val="18"/>
              </w:rPr>
              <w:t>G42</w:t>
            </w:r>
            <w:r>
              <w:rPr>
                <w:rFonts w:hint="eastAsia" w:ascii="等线" w:hAnsi="等线" w:eastAsia="等线"/>
                <w:color w:val="000000"/>
                <w:sz w:val="18"/>
                <w:szCs w:val="18"/>
              </w:rPr>
              <w:t>高速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107.641896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30.557251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513</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梁平机场环线西</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107.776355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30.673442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514</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梁平合家吴家沟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107.745280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30.811094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r>
        <w:trPr>
          <w:trHeight w:val="280" w:hRule="atLeast"/>
        </w:trPr>
        <w:tc>
          <w:tcPr>
            <w:tcW w:w="920"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515</w:t>
            </w:r>
          </w:p>
        </w:tc>
        <w:tc>
          <w:tcPr>
            <w:tcW w:w="304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梁平龙门朱家沟</w:t>
            </w:r>
          </w:p>
        </w:tc>
        <w:tc>
          <w:tcPr>
            <w:tcW w:w="122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107.686556 </w:t>
            </w:r>
          </w:p>
        </w:tc>
        <w:tc>
          <w:tcPr>
            <w:tcW w:w="10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ascii="等线" w:hAnsi="等线" w:eastAsia="等线"/>
                <w:color w:val="000000"/>
                <w:sz w:val="18"/>
                <w:szCs w:val="18"/>
              </w:rPr>
              <w:t xml:space="preserve">30.817106 </w:t>
            </w:r>
          </w:p>
        </w:tc>
        <w:tc>
          <w:tcPr>
            <w:tcW w:w="9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6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80" w:type="dxa"/>
            <w:tcBorders>
              <w:top w:val="nil"/>
              <w:left w:val="nil"/>
              <w:bottom w:val="single" w:color="auto" w:sz="4" w:space="0"/>
              <w:right w:val="single" w:color="auto" w:sz="4" w:space="0"/>
            </w:tcBorders>
            <w:shd w:val="clear" w:color="000000" w:fill="FFFFFF"/>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r>
    </w:tbl>
    <w:p>
      <w:pPr>
        <w:jc w:val="both"/>
        <w:rPr>
          <w:rFonts w:ascii="Times New Roman" w:hAnsi="Times New Roman" w:cs="Times New Roman"/>
          <w:color w:val="000000"/>
          <w:sz w:val="18"/>
          <w:szCs w:val="18"/>
        </w:rPr>
      </w:pPr>
      <w:r>
        <w:rPr>
          <w:rFonts w:ascii="Times New Roman" w:hAnsi="Times New Roman" w:cs="Times New Roman"/>
          <w:color w:val="000000"/>
          <w:sz w:val="18"/>
          <w:szCs w:val="18"/>
        </w:rPr>
        <w:br w:type="page"/>
      </w:r>
    </w:p>
    <w:p>
      <w:pPr>
        <w:pStyle w:val="2"/>
        <w:numPr>
          <w:ilvl w:val="0"/>
          <w:numId w:val="0"/>
        </w:numPr>
        <w:ind w:left="454"/>
      </w:pPr>
      <w:bookmarkStart w:id="122" w:name="_Toc56092738"/>
      <w:bookmarkStart w:id="123" w:name="_Toc55386045"/>
      <w:r>
        <w:rPr>
          <w:rFonts w:hint="eastAsia"/>
        </w:rPr>
        <w:t>附表五：社会储备资源一览表</w:t>
      </w:r>
      <w:bookmarkEnd w:id="122"/>
      <w:bookmarkEnd w:id="123"/>
    </w:p>
    <w:tbl>
      <w:tblPr>
        <w:tblStyle w:val="30"/>
        <w:tblW w:w="9280" w:type="dxa"/>
        <w:tblInd w:w="113" w:type="dxa"/>
        <w:tblLayout w:type="autofit"/>
        <w:tblCellMar>
          <w:top w:w="0" w:type="dxa"/>
          <w:left w:w="108" w:type="dxa"/>
          <w:bottom w:w="0" w:type="dxa"/>
          <w:right w:w="108" w:type="dxa"/>
        </w:tblCellMar>
      </w:tblPr>
      <w:tblGrid>
        <w:gridCol w:w="840"/>
        <w:gridCol w:w="1260"/>
        <w:gridCol w:w="2200"/>
        <w:gridCol w:w="1620"/>
        <w:gridCol w:w="1740"/>
        <w:gridCol w:w="1620"/>
      </w:tblGrid>
      <w:tr>
        <w:trPr>
          <w:trHeight w:val="290"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序号</w:t>
            </w:r>
          </w:p>
        </w:tc>
        <w:tc>
          <w:tcPr>
            <w:tcW w:w="1260" w:type="dxa"/>
            <w:tcBorders>
              <w:top w:val="single" w:color="auto" w:sz="4" w:space="0"/>
              <w:left w:val="nil"/>
              <w:bottom w:val="single" w:color="auto" w:sz="4" w:space="0"/>
              <w:right w:val="single" w:color="auto" w:sz="4" w:space="0"/>
            </w:tcBorders>
            <w:vAlign w:val="center"/>
          </w:tcPr>
          <w:p>
            <w:pPr>
              <w:jc w:val="center"/>
              <w:rPr>
                <w:rFonts w:ascii="等线" w:hAnsi="等线" w:eastAsia="等线"/>
                <w:color w:val="000000"/>
                <w:sz w:val="18"/>
                <w:szCs w:val="18"/>
              </w:rPr>
            </w:pPr>
            <w:r>
              <w:rPr>
                <w:rFonts w:hint="eastAsia" w:ascii="等线" w:hAnsi="等线" w:eastAsia="等线"/>
                <w:color w:val="000000"/>
                <w:sz w:val="18"/>
                <w:szCs w:val="18"/>
              </w:rPr>
              <w:t>区县</w:t>
            </w:r>
          </w:p>
        </w:tc>
        <w:tc>
          <w:tcPr>
            <w:tcW w:w="2200" w:type="dxa"/>
            <w:tcBorders>
              <w:top w:val="single" w:color="auto" w:sz="4" w:space="0"/>
              <w:left w:val="nil"/>
              <w:bottom w:val="single" w:color="auto" w:sz="4" w:space="0"/>
              <w:right w:val="single" w:color="auto" w:sz="4" w:space="0"/>
            </w:tcBorders>
            <w:vAlign w:val="center"/>
          </w:tcPr>
          <w:p>
            <w:pPr>
              <w:jc w:val="center"/>
              <w:rPr>
                <w:rFonts w:ascii="等线" w:hAnsi="等线" w:eastAsia="等线"/>
                <w:color w:val="000000"/>
                <w:sz w:val="18"/>
                <w:szCs w:val="18"/>
              </w:rPr>
            </w:pPr>
            <w:r>
              <w:rPr>
                <w:rFonts w:hint="eastAsia" w:ascii="等线" w:hAnsi="等线" w:eastAsia="等线"/>
                <w:color w:val="000000"/>
                <w:sz w:val="18"/>
                <w:szCs w:val="18"/>
              </w:rPr>
              <w:t>名称</w:t>
            </w:r>
          </w:p>
        </w:tc>
        <w:tc>
          <w:tcPr>
            <w:tcW w:w="1620" w:type="dxa"/>
            <w:tcBorders>
              <w:top w:val="single" w:color="auto" w:sz="4" w:space="0"/>
              <w:left w:val="nil"/>
              <w:bottom w:val="single" w:color="auto" w:sz="4" w:space="0"/>
              <w:right w:val="single" w:color="auto" w:sz="4" w:space="0"/>
            </w:tcBorders>
            <w:vAlign w:val="center"/>
          </w:tcPr>
          <w:p>
            <w:pPr>
              <w:jc w:val="center"/>
              <w:rPr>
                <w:rFonts w:ascii="等线" w:hAnsi="等线" w:eastAsia="等线"/>
                <w:color w:val="000000"/>
                <w:sz w:val="18"/>
                <w:szCs w:val="18"/>
              </w:rPr>
            </w:pPr>
            <w:r>
              <w:rPr>
                <w:rFonts w:hint="eastAsia" w:ascii="等线" w:hAnsi="等线" w:eastAsia="等线"/>
                <w:color w:val="000000"/>
                <w:sz w:val="18"/>
                <w:szCs w:val="18"/>
              </w:rPr>
              <w:t>经度</w:t>
            </w:r>
          </w:p>
        </w:tc>
        <w:tc>
          <w:tcPr>
            <w:tcW w:w="1740" w:type="dxa"/>
            <w:tcBorders>
              <w:top w:val="single" w:color="auto" w:sz="4" w:space="0"/>
              <w:left w:val="nil"/>
              <w:bottom w:val="single" w:color="auto" w:sz="4" w:space="0"/>
              <w:right w:val="single" w:color="auto" w:sz="4" w:space="0"/>
            </w:tcBorders>
            <w:vAlign w:val="center"/>
          </w:tcPr>
          <w:p>
            <w:pPr>
              <w:jc w:val="center"/>
              <w:rPr>
                <w:rFonts w:ascii="等线" w:hAnsi="等线" w:eastAsia="等线"/>
                <w:color w:val="000000"/>
                <w:sz w:val="18"/>
                <w:szCs w:val="18"/>
              </w:rPr>
            </w:pPr>
            <w:r>
              <w:rPr>
                <w:rFonts w:hint="eastAsia" w:ascii="等线" w:hAnsi="等线" w:eastAsia="等线"/>
                <w:color w:val="000000"/>
                <w:sz w:val="18"/>
                <w:szCs w:val="18"/>
              </w:rPr>
              <w:t>纬度</w:t>
            </w:r>
          </w:p>
        </w:tc>
        <w:tc>
          <w:tcPr>
            <w:tcW w:w="1620" w:type="dxa"/>
            <w:tcBorders>
              <w:top w:val="single" w:color="auto" w:sz="4" w:space="0"/>
              <w:left w:val="nil"/>
              <w:bottom w:val="single" w:color="auto" w:sz="4" w:space="0"/>
              <w:right w:val="single" w:color="auto" w:sz="4" w:space="0"/>
            </w:tcBorders>
            <w:vAlign w:val="center"/>
          </w:tcPr>
          <w:p>
            <w:pPr>
              <w:jc w:val="center"/>
              <w:rPr>
                <w:rFonts w:ascii="等线" w:hAnsi="等线" w:eastAsia="等线"/>
                <w:color w:val="000000"/>
                <w:sz w:val="18"/>
                <w:szCs w:val="18"/>
              </w:rPr>
            </w:pPr>
            <w:r>
              <w:rPr>
                <w:rFonts w:hint="eastAsia" w:ascii="等线" w:hAnsi="等线" w:eastAsia="等线"/>
                <w:color w:val="000000"/>
                <w:sz w:val="18"/>
                <w:szCs w:val="18"/>
              </w:rPr>
              <w:t>场景</w:t>
            </w:r>
          </w:p>
        </w:tc>
      </w:tr>
      <w:tr>
        <w:tblPrEx>
          <w:tblCellMar>
            <w:top w:w="0" w:type="dxa"/>
            <w:left w:w="108" w:type="dxa"/>
            <w:bottom w:w="0" w:type="dxa"/>
            <w:right w:w="108" w:type="dxa"/>
          </w:tblCellMar>
        </w:tblPrEx>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107.798480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30.680693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107.735850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30.651433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107.779580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30.676717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107.789260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30.682182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107.772700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30.672896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107.794863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30.676492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107.796017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30.676438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107.795868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30.677142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107.760117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30.662669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107.760200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30.661639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107.760237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30.660568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107.760232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30.659622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107.760336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30.658134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107.774739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30.663902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107.775938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107.777181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30.663941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107.778435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30.663938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107.779640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30.663939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107.780874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30.663957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107.782107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107.765041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30.653517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107.765036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30.652484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107.765092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30.651523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107.765102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30.650624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107.765092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30.649676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107.765040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30.648614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107.765120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30.647789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107.762934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30.659572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107.761759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30.659546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107.758904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30.659521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107.757769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30.659495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107.755206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30.659382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107.798266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30.674609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107.799395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30.675077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107.800711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30.675182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107.801928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30.674818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107.801931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30.673693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107.801939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30.672608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107.802950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30.673540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107.804298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30.673587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107.803881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30.672952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107.748359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30.656940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107.749035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30.657837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107.749409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30.658861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107.749547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30.660040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107.749373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30.661201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107.749201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30.662142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107.748140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30.660854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107.746887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30.660713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107.745773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30.660584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107.744673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30.660468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107.743348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30.655976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107.732405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30.655643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107.731310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30.655630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107.730202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30.655592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107.729071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30.655568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107.727901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30.655601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107.726758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30.655570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59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107.726569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30.656436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107.726498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30.657363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107.726503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30.658178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107.725311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30.658210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107.742144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30.655943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107.724211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30.658147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107.723198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30.658101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107.738199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30.658549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107.739296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30.658605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107.737013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30.658534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69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107.735879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30.658483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107.734725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30.658442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107.733550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30.658409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107.732411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30.658413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107.731209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30.658368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107.740979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30.655911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107.730060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30.658334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107.728892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30.658279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107.727799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30.656968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107.727674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30.658285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79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107.729799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30.657019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107.730907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30.657055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107.728669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30.656979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107.733299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30.656577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107.733292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30.657523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107.739820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30.655884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107.733244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30.659617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107.733211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30.660567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107.733220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30.661445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107.733185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30.662407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89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107.733167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30.664056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107.733113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30.665027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107.733074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30.665938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107.733129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30.667184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107.732990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30.668232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107.732969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30.669212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107.738635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30.655835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107.732919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30.670268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107.732943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30.671563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107.732926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30.672591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99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107.732902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30.673489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107.733985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30.673665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107.735349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30.673668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107.731767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30.673594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107.730741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30.673549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107.742975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30.666989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107.737455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30.655759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107.741927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30.666981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107.740897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30.666981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107.739822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30.666924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109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107.738733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30.666925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107.737663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30.666888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107.735356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30.666792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107.736506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30.666848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107.734146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30.666757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107.743397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30.663451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107.743392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30.664338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107.743375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30.665235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107.736273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30.655738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107.743350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30.666155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107.741901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30.664839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107.740785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30.664865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107.739732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30.664866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107.735007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30.655654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107.733704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30.655673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工业园区</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107.775108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30.656701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107.775904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30.656722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107.776693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30.656730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107.777663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30.656760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107.778839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30.656762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129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107.779982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30.656969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107.780970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30.657359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107.774009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30.656788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107.761810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30.656522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107.760630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30.656535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107.759520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30.656475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107.758356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30.656400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107.757219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30.656347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107.756110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30.656325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107.755116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30.656340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107.754113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30.656376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107.753082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30.656300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107.751992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30.656197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107.772932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30.656704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107.750923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30.656169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107.749754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30.656114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107.748576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30.656069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107.747318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30.656074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107.746025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30.655996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107.744750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30.655934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149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107.771899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30.656670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107.770836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30.656690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107.769684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30.656683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107.768541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30.656657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107.767538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30.656617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107.766327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30.656609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107.762960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30.656543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107.743508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30.661574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107.743543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30.660745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107.743571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30.659742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159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107.743647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30.658774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107.743697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30.657774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107.743719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30.656899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107.789834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30.675740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107.790821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30.676200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107.791809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30.676626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107.792719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30.677263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107.754253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30.650919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107.753801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30.660413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107.753788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30.661447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169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107.753716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30.662407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107.754217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30.651853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107.754201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30.652779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107.754143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30.653657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107.754088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30.654588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107.754059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30.655458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107.753945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30.657364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107.753899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30.658374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107.753891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30.659422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107.802463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30.680585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179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107.801876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30.681465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107.801628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30.682196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107.800749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30.682891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107.799978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30.683515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107.774172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30.664865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107.782370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30.672663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107.783499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30.673635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107.784422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30.674413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107.785432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30.675124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107.786549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30.675827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189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107.787724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30.676587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107.788822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30.677233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107.789972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30.678056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107.790990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30.678736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107.791985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30.679399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107.774668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30.665722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107.792951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30.680013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107.793849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30.680582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107.794816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30.681213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107.795809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30.681926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199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107.796685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30.682437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107.797599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30.683054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107.798482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30.683588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107.799449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30.684231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107.800355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30.684796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107.801239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30.685469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107.775569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30.666542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107.802186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30.685924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107.803066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30.686840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107.803663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30.687625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209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107.804239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30.688230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107.804972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30.689114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107.805733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30.689961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107.806434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30.690704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107.807107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30.691412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107.807820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30.692158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107.808406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30.692806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107.776432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30.667339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107.809033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30.693449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107.809508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30.694061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107.810003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30.694642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107.810330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30.695260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107.810549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30.695914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107.810712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30.696526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107.810834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30.697316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107.810898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30.698122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107.810971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30.698921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107.811042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30.699729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107.777336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30.668197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107.811149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30.700665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229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107.811271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30.701623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107.811366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30.702623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107.811499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30.703665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107.811638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30.704795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107.811704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30.705882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107.811842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30.707007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107.811950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30.708143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107.812102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30.709505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107.812214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30.710657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107.778322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30.669046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107.812304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30.711751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107.812434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30.712883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107.812529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30.713778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107.812647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30.714657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107.812712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30.715434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107.812795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30.716227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107.812917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30.717041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107.779333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30.670020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107.780288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30.670874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107.781381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30.671722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249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107.786509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30.675419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107.787113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30.674604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107.787728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30.673778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107.788306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30.672950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107.789025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30.672193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107.783312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30.664080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107.792484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30.669516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107.793636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30.670232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107.794726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30.670877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107.795831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30.671473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259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107.796994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30.672016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107.797981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30.672753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107.797893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30.673940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107.797847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30.675071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107.784328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30.664632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107.785316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30.665253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107.786370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30.665857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107.787341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30.666453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107.788428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30.667051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107.789401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30.667698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269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107.790408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30.668320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107.791442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30.668938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107.797995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30.682092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107.798335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30.681224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107.798686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30.680348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107.799061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30.679505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107.799402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30.678675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107.799775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30.677847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107.796894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30.676704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107.796536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30.677591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279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107.796156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30.678546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107.795954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30.679464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107.782460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30.667797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107.783428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30.668467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107.784368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30.669165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107.785269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30.669913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107.786216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30.670717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107.791774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30.678335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107.794488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30.676875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107.794540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30.679871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289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107.792881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30.677707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107.794154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30.677788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107.795365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30.678316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107.795366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30.679479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107.796129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30.680443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107.797202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30.681198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107.792945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30.679591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107.793646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30.678644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107.798308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30.676124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107.799405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30.676586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299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107.800470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30.677106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107.801601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30.677506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107.802824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30.677846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107.804030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30.678130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107.802417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30.678653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107.802005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30.679588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107.798533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30.671878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107.800674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30.668668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107.800836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30.667900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107.801053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30.667095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309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107.799584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30.671539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107.800558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30.671110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107.800601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30.670231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107.799916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30.669427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107.799078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30.668698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107.800467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30.669411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107.801271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30.668986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107.801783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30.668337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107.787955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30.672331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107.797126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30.675882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107.788863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30.672950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107.789788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30.673603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107.790809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30.674167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107.792017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30.674350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107.793179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30.674510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107.794112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30.675060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107.794782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30.675840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107.795944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30.675635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107.785475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30.674018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107.790495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30.666958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329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107.791055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30.666192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107.791752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30.665455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107.785986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30.673226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107.786577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30.672441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107.787351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30.671469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107.787886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30.670713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107.788410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30.669949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107.788950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30.669169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107.789470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30.668442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107.789988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30.667685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107.773913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30.663164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107.773966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30.662223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107.774001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30.661392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107.774006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30.660608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107.773991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30.659668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107.774108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30.658780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107.774091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30.657888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107.774146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30.655570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107.788248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30.676667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107.788699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30.675960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349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107.794058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30.668865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107.794632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30.668019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107.795249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30.667179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107.789246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30.675134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107.789805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30.674306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107.790281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30.673524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107.790966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30.672806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107.791596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30.672079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107.792203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30.671332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107.792796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30.670527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359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107.793459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30.669637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107.783104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30.670279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107.783775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30.669461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107.784497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30.668641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107.785153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30.667772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107.785854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30.666917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107.784937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30.674241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107.780631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30.667445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107.780965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30.666573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107.781883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30.665946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369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107.782289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30.665007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107.782824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30.663507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107.783050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30.662548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107.783582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30.661635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107.784313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30.660843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107.784944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30.659959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107.784124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30.673591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107.783323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30.672915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107.782578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30.672270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107.781808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30.671630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379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107.781060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30.670978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107.780710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30.670259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107.780681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30.669333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107.780654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30.668396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107.781607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30.670599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107.782573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30.671136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107.783600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30.671578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107.784617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30.672093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107.785768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30.672389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107.756371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30.662726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389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107.756404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30.661656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107.756451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30.660772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107.756572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30.659462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107.773464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30.664083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107.763042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30.663915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107.762031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30.663878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107.760996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30.663838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107.760012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30.663812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107.758965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30.663805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107.757924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30.663759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399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107.756866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30.663702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107.755814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30.663632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107.754792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30.663595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107.753744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30.663548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107.772313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107.752686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30.663520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107.751591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30.663409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107.750543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30.663298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107.749394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30.663173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107.748204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30.663063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409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107.747030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30.662930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107.745770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30.662804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107.744697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30.662659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107.743496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30.662563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107.742231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30.662421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107.771009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107.740643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30.662320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107.739141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30.662258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107.737970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30.662533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107.736839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30.662839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107.735823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30.663351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107.734868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30.663484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107.733859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30.663480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107.769775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30.664065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107.768415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107.767033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30.664013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107.765993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30.664020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107.764999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30.664001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107.764043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30.663958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107.777144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30.668592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429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107.768461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30.665127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107.767437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30.664791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107.766432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30.663143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107.765959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30.662352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107.765564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30.661656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107.765042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30.660799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107.764542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30.660000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107.764079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30.659322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107.763200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30.658163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107.762541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30.657423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107.776289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30.668028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107.761000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30.655759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107.760222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30.655029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107.759256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30.654533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107.758384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30.653962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107.757596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30.653506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107.756727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30.652868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107.755843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30.652133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107.755078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30.651553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107.753426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30.650069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449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107.752538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30.649263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107.775429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30.667644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107.751563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30.648693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107.774570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30.667148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107.773751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30.666745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107.772756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30.666425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107.771846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30.666111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107.770672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30.665833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梁平</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梁平杆</w:t>
            </w:r>
            <w:r>
              <w:rPr>
                <w:rFonts w:ascii="等线" w:hAnsi="等线" w:eastAsia="等线"/>
                <w:color w:val="000000"/>
                <w:sz w:val="18"/>
                <w:szCs w:val="18"/>
              </w:rPr>
              <w:t>457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107.769680 </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ascii="等线" w:hAnsi="等线" w:eastAsia="等线"/>
                <w:sz w:val="18"/>
                <w:szCs w:val="18"/>
              </w:rPr>
              <w:t xml:space="preserve">30.665243 </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sz w:val="18"/>
                <w:szCs w:val="18"/>
              </w:rPr>
            </w:pPr>
            <w:r>
              <w:rPr>
                <w:rFonts w:hint="eastAsia" w:ascii="等线" w:hAnsi="等线" w:eastAsia="等线"/>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107.8020881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30.68603926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107.7964925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30.68229989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107.7912095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30.67888893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107.7849871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30.67478103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107.7740772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30.66522266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107.7742709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30.65975704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107.7668008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30.66398116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107.7536284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30.66356118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107.7524452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30.66345959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107.7433707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30.66249413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107.7260739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30.66284323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107.7856648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30.66555309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107.7897432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30.66791059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107.7964315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30.67173664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107.7884686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30.68209027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107.773008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30.67090396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107.743693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30.65584031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107.7540153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30.6561257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107.7614756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30.65639532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107.7695613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30.65652904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107.7723753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30.6565404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107.781684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30.65754571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107.7440475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30.64836714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107.7616103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30.64872397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107.7651428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30.64891484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107.770754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30.64874781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107.7690461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30.65244627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107.7438273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30.65230217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梁平交通红绿灯</w:t>
            </w:r>
            <w:r>
              <w:rPr>
                <w:rFonts w:ascii="等线" w:hAnsi="等线" w:eastAsia="等线"/>
                <w:color w:val="000000"/>
                <w:sz w:val="18"/>
                <w:szCs w:val="18"/>
              </w:rPr>
              <w:t>29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107.8010463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30.67070382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107.7376832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30.66257581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107.7381296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30.66244415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107.7410269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30.66246026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107.7415954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30.66231708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107.7452025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30.66271741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107.7454278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30.66267816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107.7495102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30.663192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107.7496283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30.66312742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107.7545916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30.6635544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107.7535989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30.66312069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107.7537009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30.66300539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107.7570845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30.66362871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107.7598406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30.66371719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107.7602244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30.66321457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107.7624548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30.66389121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107.7651927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30.66388567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107.768076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30.66390587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107.7683203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30.66394984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107.7688868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30.66403556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107.7701434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30.66403414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107.7707261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30.66395616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107.772364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30.66393437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107.7728286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30.664027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107.7748668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30.66401722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107.7758014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30.66393043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107.7777888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30.66395539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107.7779822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30.66399479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107.7807515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30.66395384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29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107.7839403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30.66119458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107.7742064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30.66073947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107.7743087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30.65731697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107.7754582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30.65654305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107.7758019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30.65663101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107.7825168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30.6580033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107.7828606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30.65810517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107.779535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30.65998349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107.7695556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30.66052362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107.7696042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30.65761768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39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107.7695131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30.65489145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107.7696044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30.65451787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107.7660599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30.66265695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107.7653513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30.66146191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107.7640951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30.65969462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107.7622862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30.65645102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107.7611213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30.65607228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107.7608315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30.65575388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107.7542893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30.65069631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107.7516118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30.64852787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49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107.7568117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30.64991257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107.7572732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30.6501987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107.7595811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30.65190624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107.7623347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30.6539232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107.763376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30.65581958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107.7691693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30.65657489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107.7701466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30.6565064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107.7722786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30.65609288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107.7724828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30.65430326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107.7724722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30.65334838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59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107.7717741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30.65250826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107.771323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30.65235107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107.7703617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30.65249334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107.767607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30.65244993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107.7724132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30.65162768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107.7722253</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30.65127694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107.7719031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30.65035407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107.7713661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30.64935721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107.7676771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30.64870876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107.7672475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30.6488192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69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107.7653306</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30.65027719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107.762775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30.65239651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107.7654597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30.6469221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107.7664584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30.64577858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559</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73</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107.7652182</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30.64572712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560</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107.7331609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30.65679527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561</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107.7372681</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30.65571355</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562</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107.7391887</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30.64472424</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563</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77</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107.7361538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30.64201298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564</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107.812409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30.71116636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565</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79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107.7751085</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30.66471621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566</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80</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107.8096259</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30.68157898</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567</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81</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107.7434298</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30.66125566</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r>
        <w:trPr>
          <w:trHeight w:val="290" w:hRule="atLeast"/>
        </w:trPr>
        <w:tc>
          <w:tcPr>
            <w:tcW w:w="84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568</w:t>
            </w:r>
          </w:p>
        </w:tc>
        <w:tc>
          <w:tcPr>
            <w:tcW w:w="12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梁平区</w:t>
            </w:r>
          </w:p>
        </w:tc>
        <w:tc>
          <w:tcPr>
            <w:tcW w:w="220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梁平公交站</w:t>
            </w:r>
            <w:r>
              <w:rPr>
                <w:rFonts w:ascii="等线" w:hAnsi="等线" w:eastAsia="等线"/>
                <w:color w:val="000000"/>
                <w:sz w:val="18"/>
                <w:szCs w:val="18"/>
              </w:rPr>
              <w:t>82</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107.7537144</w:t>
            </w:r>
          </w:p>
        </w:tc>
        <w:tc>
          <w:tcPr>
            <w:tcW w:w="17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30.66064609</w:t>
            </w:r>
          </w:p>
        </w:tc>
        <w:tc>
          <w:tcPr>
            <w:tcW w:w="16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城区道路</w:t>
            </w:r>
          </w:p>
        </w:tc>
      </w:tr>
    </w:tbl>
    <w:p/>
    <w:p>
      <w:pPr>
        <w:sectPr>
          <w:pgSz w:w="11906" w:h="16838"/>
          <w:pgMar w:top="1389" w:right="1287" w:bottom="1389" w:left="1287" w:header="510" w:footer="992" w:gutter="0"/>
          <w:pgNumType w:start="1"/>
          <w:cols w:space="425" w:num="1"/>
          <w:docGrid w:type="linesAndChars" w:linePitch="326" w:charSpace="0"/>
        </w:sectPr>
      </w:pPr>
    </w:p>
    <w:p/>
    <w:p>
      <w:pPr>
        <w:tabs>
          <w:tab w:val="left" w:pos="1526"/>
        </w:tabs>
      </w:pPr>
    </w:p>
    <w:p/>
    <w:p/>
    <w:p/>
    <w:p/>
    <w:p/>
    <w:p/>
    <w:p/>
    <w:p/>
    <w:p/>
    <w:p/>
    <w:p/>
    <w:p/>
    <w:p/>
    <w:p/>
    <w:p>
      <w:pPr>
        <w:pStyle w:val="4"/>
        <w:numPr>
          <w:ilvl w:val="0"/>
          <w:numId w:val="10"/>
        </w:numPr>
        <w:jc w:val="right"/>
        <w:rPr>
          <w:sz w:val="144"/>
          <w:szCs w:val="144"/>
        </w:rPr>
        <w:sectPr>
          <w:headerReference r:id="rId11" w:type="default"/>
          <w:footerReference r:id="rId13" w:type="default"/>
          <w:headerReference r:id="rId12" w:type="even"/>
          <w:pgSz w:w="11906" w:h="16838"/>
          <w:pgMar w:top="1440" w:right="1287" w:bottom="1440" w:left="1287" w:header="851" w:footer="992" w:gutter="0"/>
          <w:pgNumType w:start="1"/>
          <w:cols w:space="720" w:num="1"/>
          <w:docGrid w:linePitch="326" w:charSpace="0"/>
        </w:sectPr>
      </w:pPr>
      <w:r>
        <w:pict>
          <v:rect id="_x0000_s1042" o:spid="_x0000_s1042" o:spt="1" style="position:absolute;left:0pt;margin-left:-114.7pt;margin-top:98.75pt;height:22.55pt;width:646.9pt;z-index:251662336;v-text-anchor:middle;mso-width-relative:page;mso-height-relative:page;" fillcolor="#F6F8FC" filled="t" stroked="f" coordsize="21600,21600" o:gfxdata="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DwUWK7eAAAADQEAAA8AAAAAAAAAAQAgAAAA&#10;IgAAAGRycy9kb3ducmV2LnhtbFBLAQIUABQAAAAIAIdO4kBLNOHO6QIAANMFAAAOAAAAAAAAAAEA&#10;IAAAAC0BAABkcnMvZTJvRG9jLnhtbFBLBQYAAAAABgAGAFkBAACIBgAAAAA=&#10;">
            <v:path/>
            <v:fill type="gradient" on="t" color2="#000000" angle="54" focus="100%" focussize="0,0" rotate="t">
              <o:fill type="gradientUnscaled" v:ext="backwardCompatible"/>
            </v:fill>
            <v:stroke on="f" weight="1pt"/>
            <v:imagedata o:title=""/>
            <o:lock v:ext="edit"/>
            <v:textbox>
              <w:txbxContent>
                <w:p>
                  <w:pPr>
                    <w:jc w:val="center"/>
                  </w:pPr>
                </w:p>
              </w:txbxContent>
            </v:textbox>
          </v:rect>
        </w:pict>
      </w:r>
      <w:r>
        <w:t xml:space="preserve"> </w:t>
      </w:r>
      <w:r>
        <w:rPr>
          <w:rFonts w:hint="eastAsia"/>
          <w:sz w:val="144"/>
          <w:szCs w:val="144"/>
        </w:rPr>
        <w:t>说</w:t>
      </w:r>
      <w:r>
        <w:rPr>
          <w:sz w:val="144"/>
          <w:szCs w:val="144"/>
        </w:rPr>
        <w:t xml:space="preserve"> </w:t>
      </w:r>
      <w:r>
        <w:rPr>
          <w:rFonts w:hint="eastAsia"/>
          <w:sz w:val="144"/>
          <w:szCs w:val="144"/>
        </w:rPr>
        <w:t>明</w:t>
      </w:r>
    </w:p>
    <w:p>
      <w:pPr>
        <w:keepNext/>
        <w:keepLines/>
        <w:snapToGrid w:val="0"/>
        <w:spacing w:beforeLines="100" w:afterLines="100"/>
        <w:contextualSpacing/>
        <w:jc w:val="center"/>
        <w:rPr>
          <w:rFonts w:ascii="Times New Roman" w:hAnsi="Times New Roman" w:eastAsia="黑体" w:cs="Times New Roman"/>
          <w:color w:val="000000"/>
          <w:spacing w:val="200"/>
          <w:sz w:val="32"/>
          <w:szCs w:val="32"/>
        </w:rPr>
      </w:pPr>
      <w:r>
        <w:rPr>
          <w:rFonts w:hint="eastAsia" w:ascii="Times New Roman" w:hAnsi="Times New Roman" w:eastAsia="黑体" w:cs="Times New Roman"/>
          <w:color w:val="000000"/>
          <w:spacing w:val="200"/>
          <w:sz w:val="32"/>
          <w:szCs w:val="32"/>
        </w:rPr>
        <w:t>目录</w:t>
      </w:r>
      <w:r>
        <w:rPr>
          <w:rFonts w:ascii="Times New Roman" w:hAnsi="Times New Roman" w:eastAsia="黑体" w:cs="Times New Roman"/>
          <w:kern w:val="2"/>
        </w:rPr>
        <w:fldChar w:fldCharType="begin"/>
      </w:r>
      <w:r>
        <w:rPr>
          <w:rFonts w:ascii="Times New Roman" w:hAnsi="Times New Roman" w:eastAsia="黑体" w:cs="Times New Roman"/>
          <w:kern w:val="2"/>
        </w:rPr>
        <w:instrText xml:space="preserve"> TOC \o "1-3" \h \z \u </w:instrText>
      </w:r>
      <w:r>
        <w:rPr>
          <w:rFonts w:ascii="Times New Roman" w:hAnsi="Times New Roman" w:eastAsia="黑体" w:cs="Times New Roman"/>
          <w:kern w:val="2"/>
        </w:rPr>
        <w:fldChar w:fldCharType="separate"/>
      </w:r>
    </w:p>
    <w:p>
      <w:pPr>
        <w:pStyle w:val="23"/>
        <w:rPr>
          <w:kern w:val="2"/>
          <w:sz w:val="21"/>
        </w:rPr>
      </w:pPr>
      <w:r>
        <w:fldChar w:fldCharType="begin"/>
      </w:r>
      <w:r>
        <w:instrText xml:space="preserve"> HYPERLINK \l "_Toc56092739" </w:instrText>
      </w:r>
      <w:r>
        <w:fldChar w:fldCharType="separate"/>
      </w:r>
      <w:r>
        <w:rPr>
          <w:rStyle w:val="34"/>
          <w:rFonts w:hint="eastAsia"/>
        </w:rPr>
        <w:t>第一章</w:t>
      </w:r>
      <w:r>
        <w:rPr>
          <w:rStyle w:val="34"/>
        </w:rPr>
        <w:t xml:space="preserve"> </w:t>
      </w:r>
      <w:r>
        <w:rPr>
          <w:rStyle w:val="34"/>
          <w:rFonts w:hint="eastAsia"/>
        </w:rPr>
        <w:t>前言</w:t>
      </w:r>
      <w:r>
        <w:tab/>
      </w:r>
      <w:r>
        <w:fldChar w:fldCharType="begin"/>
      </w:r>
      <w:r>
        <w:instrText xml:space="preserve"> PAGEREF _Toc56092739 \h </w:instrText>
      </w:r>
      <w:r>
        <w:fldChar w:fldCharType="separate"/>
      </w:r>
      <w:r>
        <w:t>3</w:t>
      </w:r>
      <w:r>
        <w:fldChar w:fldCharType="end"/>
      </w:r>
      <w:r>
        <w:fldChar w:fldCharType="end"/>
      </w:r>
    </w:p>
    <w:p>
      <w:pPr>
        <w:pStyle w:val="23"/>
        <w:spacing w:line="276" w:lineRule="auto"/>
        <w:rPr>
          <w:kern w:val="2"/>
          <w:sz w:val="21"/>
        </w:rPr>
      </w:pPr>
      <w:r>
        <w:fldChar w:fldCharType="begin"/>
      </w:r>
      <w:r>
        <w:instrText xml:space="preserve"> HYPERLINK \l "_Toc56092740" </w:instrText>
      </w:r>
      <w:r>
        <w:fldChar w:fldCharType="separate"/>
      </w:r>
      <w:r>
        <w:rPr>
          <w:rStyle w:val="34"/>
          <w:rFonts w:hint="eastAsia"/>
        </w:rPr>
        <w:t>第二章</w:t>
      </w:r>
      <w:r>
        <w:rPr>
          <w:rStyle w:val="34"/>
        </w:rPr>
        <w:t xml:space="preserve"> </w:t>
      </w:r>
      <w:r>
        <w:rPr>
          <w:rStyle w:val="34"/>
          <w:rFonts w:hint="eastAsia"/>
        </w:rPr>
        <w:t>总则</w:t>
      </w:r>
      <w:r>
        <w:tab/>
      </w:r>
      <w:r>
        <w:fldChar w:fldCharType="begin"/>
      </w:r>
      <w:r>
        <w:instrText xml:space="preserve"> PAGEREF _Toc56092740 \h </w:instrText>
      </w:r>
      <w:r>
        <w:fldChar w:fldCharType="separate"/>
      </w:r>
      <w:r>
        <w:t>4</w:t>
      </w:r>
      <w:r>
        <w:fldChar w:fldCharType="end"/>
      </w:r>
      <w:r>
        <w:fldChar w:fldCharType="end"/>
      </w:r>
    </w:p>
    <w:p>
      <w:pPr>
        <w:pStyle w:val="26"/>
        <w:tabs>
          <w:tab w:val="right" w:leader="dot" w:pos="9322"/>
        </w:tabs>
        <w:rPr>
          <w:kern w:val="2"/>
          <w:sz w:val="21"/>
        </w:rPr>
      </w:pPr>
      <w:r>
        <w:fldChar w:fldCharType="begin"/>
      </w:r>
      <w:r>
        <w:instrText xml:space="preserve"> HYPERLINK \l "_Toc56092741" </w:instrText>
      </w:r>
      <w:r>
        <w:fldChar w:fldCharType="separate"/>
      </w:r>
      <w:r>
        <w:rPr>
          <w:rStyle w:val="34"/>
          <w:rFonts w:hint="eastAsia" w:ascii="黑体" w:hAnsi="黑体"/>
        </w:rPr>
        <w:t>第一条</w:t>
      </w:r>
      <w:r>
        <w:rPr>
          <w:kern w:val="2"/>
          <w:sz w:val="21"/>
        </w:rPr>
        <w:t xml:space="preserve"> </w:t>
      </w:r>
      <w:r>
        <w:rPr>
          <w:rStyle w:val="34"/>
          <w:rFonts w:hint="eastAsia"/>
        </w:rPr>
        <w:t>规划范围与年限</w:t>
      </w:r>
      <w:r>
        <w:tab/>
      </w:r>
      <w:r>
        <w:fldChar w:fldCharType="begin"/>
      </w:r>
      <w:r>
        <w:instrText xml:space="preserve"> PAGEREF _Toc56092741 \h </w:instrText>
      </w:r>
      <w:r>
        <w:fldChar w:fldCharType="separate"/>
      </w:r>
      <w:r>
        <w:t>4</w:t>
      </w:r>
      <w:r>
        <w:fldChar w:fldCharType="end"/>
      </w:r>
      <w:r>
        <w:fldChar w:fldCharType="end"/>
      </w:r>
    </w:p>
    <w:p>
      <w:pPr>
        <w:pStyle w:val="26"/>
        <w:tabs>
          <w:tab w:val="left" w:pos="1020"/>
          <w:tab w:val="right" w:leader="dot" w:pos="9322"/>
        </w:tabs>
        <w:rPr>
          <w:kern w:val="2"/>
          <w:sz w:val="21"/>
        </w:rPr>
      </w:pPr>
      <w:r>
        <w:fldChar w:fldCharType="begin"/>
      </w:r>
      <w:r>
        <w:instrText xml:space="preserve"> HYPERLINK \l "_Toc56092744" </w:instrText>
      </w:r>
      <w:r>
        <w:fldChar w:fldCharType="separate"/>
      </w:r>
      <w:r>
        <w:rPr>
          <w:rStyle w:val="34"/>
          <w:rFonts w:hint="eastAsia" w:ascii="黑体" w:hAnsi="黑体"/>
        </w:rPr>
        <w:t>第二条</w:t>
      </w:r>
      <w:r>
        <w:rPr>
          <w:kern w:val="2"/>
          <w:sz w:val="21"/>
        </w:rPr>
        <w:tab/>
      </w:r>
      <w:r>
        <w:rPr>
          <w:rStyle w:val="34"/>
          <w:rFonts w:hint="eastAsia"/>
        </w:rPr>
        <w:t>规划对象及任务</w:t>
      </w:r>
      <w:r>
        <w:tab/>
      </w:r>
      <w:r>
        <w:fldChar w:fldCharType="begin"/>
      </w:r>
      <w:r>
        <w:instrText xml:space="preserve"> PAGEREF _Toc56092744 \h </w:instrText>
      </w:r>
      <w:r>
        <w:fldChar w:fldCharType="separate"/>
      </w:r>
      <w:r>
        <w:t>4</w:t>
      </w:r>
      <w:r>
        <w:fldChar w:fldCharType="end"/>
      </w:r>
      <w:r>
        <w:fldChar w:fldCharType="end"/>
      </w:r>
    </w:p>
    <w:p>
      <w:pPr>
        <w:pStyle w:val="26"/>
        <w:tabs>
          <w:tab w:val="left" w:pos="1020"/>
          <w:tab w:val="right" w:leader="dot" w:pos="9322"/>
        </w:tabs>
        <w:rPr>
          <w:kern w:val="2"/>
          <w:sz w:val="21"/>
        </w:rPr>
      </w:pPr>
      <w:r>
        <w:fldChar w:fldCharType="begin"/>
      </w:r>
      <w:r>
        <w:instrText xml:space="preserve"> HYPERLINK \l "_Toc56092748" </w:instrText>
      </w:r>
      <w:r>
        <w:fldChar w:fldCharType="separate"/>
      </w:r>
      <w:r>
        <w:rPr>
          <w:rStyle w:val="34"/>
          <w:rFonts w:hint="eastAsia" w:ascii="黑体" w:hAnsi="黑体"/>
        </w:rPr>
        <w:t>第三条</w:t>
      </w:r>
      <w:r>
        <w:rPr>
          <w:kern w:val="2"/>
          <w:sz w:val="21"/>
        </w:rPr>
        <w:tab/>
      </w:r>
      <w:r>
        <w:rPr>
          <w:rStyle w:val="34"/>
          <w:rFonts w:hint="eastAsia"/>
        </w:rPr>
        <w:t>规划依据</w:t>
      </w:r>
      <w:r>
        <w:tab/>
      </w:r>
      <w:r>
        <w:fldChar w:fldCharType="begin"/>
      </w:r>
      <w:r>
        <w:instrText xml:space="preserve"> PAGEREF _Toc56092748 \h </w:instrText>
      </w:r>
      <w:r>
        <w:fldChar w:fldCharType="separate"/>
      </w:r>
      <w:r>
        <w:t>5</w:t>
      </w:r>
      <w:r>
        <w:fldChar w:fldCharType="end"/>
      </w:r>
      <w:r>
        <w:fldChar w:fldCharType="end"/>
      </w:r>
    </w:p>
    <w:p>
      <w:pPr>
        <w:pStyle w:val="26"/>
        <w:tabs>
          <w:tab w:val="left" w:pos="1020"/>
          <w:tab w:val="right" w:leader="dot" w:pos="9322"/>
        </w:tabs>
        <w:rPr>
          <w:kern w:val="2"/>
          <w:sz w:val="21"/>
        </w:rPr>
      </w:pPr>
      <w:r>
        <w:fldChar w:fldCharType="begin"/>
      </w:r>
      <w:r>
        <w:instrText xml:space="preserve"> HYPERLINK \l "_Toc56092749" </w:instrText>
      </w:r>
      <w:r>
        <w:fldChar w:fldCharType="separate"/>
      </w:r>
      <w:r>
        <w:rPr>
          <w:rStyle w:val="34"/>
          <w:rFonts w:hint="eastAsia" w:ascii="黑体" w:hAnsi="黑体"/>
        </w:rPr>
        <w:t>第四条</w:t>
      </w:r>
      <w:r>
        <w:rPr>
          <w:kern w:val="2"/>
          <w:sz w:val="21"/>
        </w:rPr>
        <w:tab/>
      </w:r>
      <w:r>
        <w:rPr>
          <w:rStyle w:val="34"/>
          <w:rFonts w:hint="eastAsia"/>
        </w:rPr>
        <w:t>规划目标</w:t>
      </w:r>
      <w:r>
        <w:tab/>
      </w:r>
      <w:r>
        <w:fldChar w:fldCharType="begin"/>
      </w:r>
      <w:r>
        <w:instrText xml:space="preserve"> PAGEREF _Toc56092749 \h </w:instrText>
      </w:r>
      <w:r>
        <w:fldChar w:fldCharType="separate"/>
      </w:r>
      <w:r>
        <w:t>7</w:t>
      </w:r>
      <w:r>
        <w:fldChar w:fldCharType="end"/>
      </w:r>
      <w:r>
        <w:fldChar w:fldCharType="end"/>
      </w:r>
    </w:p>
    <w:p>
      <w:pPr>
        <w:pStyle w:val="26"/>
        <w:tabs>
          <w:tab w:val="left" w:pos="1020"/>
          <w:tab w:val="right" w:leader="dot" w:pos="9322"/>
        </w:tabs>
        <w:rPr>
          <w:kern w:val="2"/>
          <w:sz w:val="21"/>
        </w:rPr>
      </w:pPr>
      <w:r>
        <w:fldChar w:fldCharType="begin"/>
      </w:r>
      <w:r>
        <w:instrText xml:space="preserve"> HYPERLINK \l "_Toc56092750" </w:instrText>
      </w:r>
      <w:r>
        <w:fldChar w:fldCharType="separate"/>
      </w:r>
      <w:r>
        <w:rPr>
          <w:rStyle w:val="34"/>
          <w:rFonts w:hint="eastAsia" w:ascii="黑体" w:hAnsi="黑体"/>
        </w:rPr>
        <w:t>第五条</w:t>
      </w:r>
      <w:r>
        <w:rPr>
          <w:kern w:val="2"/>
          <w:sz w:val="21"/>
        </w:rPr>
        <w:tab/>
      </w:r>
      <w:r>
        <w:rPr>
          <w:rStyle w:val="34"/>
          <w:rFonts w:hint="eastAsia"/>
        </w:rPr>
        <w:t>指导思想</w:t>
      </w:r>
      <w:r>
        <w:tab/>
      </w:r>
      <w:r>
        <w:fldChar w:fldCharType="begin"/>
      </w:r>
      <w:r>
        <w:instrText xml:space="preserve"> PAGEREF _Toc56092750 \h </w:instrText>
      </w:r>
      <w:r>
        <w:fldChar w:fldCharType="separate"/>
      </w:r>
      <w:r>
        <w:t>7</w:t>
      </w:r>
      <w:r>
        <w:fldChar w:fldCharType="end"/>
      </w:r>
      <w:r>
        <w:fldChar w:fldCharType="end"/>
      </w:r>
    </w:p>
    <w:p>
      <w:pPr>
        <w:pStyle w:val="26"/>
        <w:tabs>
          <w:tab w:val="left" w:pos="1020"/>
          <w:tab w:val="right" w:leader="dot" w:pos="9322"/>
        </w:tabs>
        <w:rPr>
          <w:kern w:val="2"/>
          <w:sz w:val="21"/>
        </w:rPr>
      </w:pPr>
      <w:r>
        <w:fldChar w:fldCharType="begin"/>
      </w:r>
      <w:r>
        <w:instrText xml:space="preserve"> HYPERLINK \l "_Toc56092751" </w:instrText>
      </w:r>
      <w:r>
        <w:fldChar w:fldCharType="separate"/>
      </w:r>
      <w:r>
        <w:rPr>
          <w:rStyle w:val="34"/>
          <w:rFonts w:hint="eastAsia" w:ascii="黑体" w:hAnsi="黑体"/>
        </w:rPr>
        <w:t>第六条</w:t>
      </w:r>
      <w:r>
        <w:rPr>
          <w:kern w:val="2"/>
          <w:sz w:val="21"/>
        </w:rPr>
        <w:tab/>
      </w:r>
      <w:r>
        <w:rPr>
          <w:rStyle w:val="34"/>
          <w:rFonts w:hint="eastAsia"/>
        </w:rPr>
        <w:t>规划原则</w:t>
      </w:r>
      <w:r>
        <w:tab/>
      </w:r>
      <w:r>
        <w:fldChar w:fldCharType="begin"/>
      </w:r>
      <w:r>
        <w:instrText xml:space="preserve"> PAGEREF _Toc56092751 \h </w:instrText>
      </w:r>
      <w:r>
        <w:fldChar w:fldCharType="separate"/>
      </w:r>
      <w:r>
        <w:t>8</w:t>
      </w:r>
      <w:r>
        <w:fldChar w:fldCharType="end"/>
      </w:r>
      <w:r>
        <w:fldChar w:fldCharType="end"/>
      </w:r>
    </w:p>
    <w:p>
      <w:pPr>
        <w:pStyle w:val="23"/>
        <w:rPr>
          <w:kern w:val="2"/>
          <w:sz w:val="21"/>
        </w:rPr>
      </w:pPr>
      <w:r>
        <w:fldChar w:fldCharType="begin"/>
      </w:r>
      <w:r>
        <w:instrText xml:space="preserve"> HYPERLINK \l "_Toc56092752" </w:instrText>
      </w:r>
      <w:r>
        <w:fldChar w:fldCharType="separate"/>
      </w:r>
      <w:r>
        <w:rPr>
          <w:rStyle w:val="34"/>
          <w:rFonts w:hint="eastAsia"/>
        </w:rPr>
        <w:t>第三章</w:t>
      </w:r>
      <w:r>
        <w:rPr>
          <w:rStyle w:val="34"/>
        </w:rPr>
        <w:t xml:space="preserve"> 5G</w:t>
      </w:r>
      <w:r>
        <w:rPr>
          <w:rStyle w:val="34"/>
          <w:rFonts w:hint="eastAsia"/>
        </w:rPr>
        <w:t>发展意义及现状</w:t>
      </w:r>
      <w:r>
        <w:tab/>
      </w:r>
      <w:r>
        <w:fldChar w:fldCharType="begin"/>
      </w:r>
      <w:r>
        <w:instrText xml:space="preserve"> PAGEREF _Toc56092752 \h </w:instrText>
      </w:r>
      <w:r>
        <w:fldChar w:fldCharType="separate"/>
      </w:r>
      <w:r>
        <w:t>9</w:t>
      </w:r>
      <w:r>
        <w:fldChar w:fldCharType="end"/>
      </w:r>
      <w:r>
        <w:fldChar w:fldCharType="end"/>
      </w:r>
    </w:p>
    <w:p>
      <w:pPr>
        <w:pStyle w:val="26"/>
        <w:tabs>
          <w:tab w:val="right" w:leader="dot" w:pos="9322"/>
        </w:tabs>
        <w:rPr>
          <w:kern w:val="2"/>
          <w:sz w:val="21"/>
        </w:rPr>
      </w:pPr>
      <w:r>
        <w:fldChar w:fldCharType="begin"/>
      </w:r>
      <w:r>
        <w:instrText xml:space="preserve"> HYPERLINK \l "_Toc56092753" </w:instrText>
      </w:r>
      <w:r>
        <w:fldChar w:fldCharType="separate"/>
      </w:r>
      <w:r>
        <w:rPr>
          <w:rStyle w:val="34"/>
          <w:rFonts w:hint="eastAsia" w:ascii="黑体" w:hAnsi="黑体"/>
        </w:rPr>
        <w:t>第一条</w:t>
      </w:r>
      <w:r>
        <w:rPr>
          <w:rStyle w:val="34"/>
        </w:rPr>
        <w:t xml:space="preserve"> 5G</w:t>
      </w:r>
      <w:r>
        <w:rPr>
          <w:rStyle w:val="34"/>
          <w:rFonts w:hint="eastAsia"/>
        </w:rPr>
        <w:t>发展意义</w:t>
      </w:r>
      <w:r>
        <w:tab/>
      </w:r>
      <w:r>
        <w:fldChar w:fldCharType="begin"/>
      </w:r>
      <w:r>
        <w:instrText xml:space="preserve"> PAGEREF _Toc56092753 \h </w:instrText>
      </w:r>
      <w:r>
        <w:fldChar w:fldCharType="separate"/>
      </w:r>
      <w:r>
        <w:t>9</w:t>
      </w:r>
      <w:r>
        <w:fldChar w:fldCharType="end"/>
      </w:r>
      <w:r>
        <w:fldChar w:fldCharType="end"/>
      </w:r>
    </w:p>
    <w:p>
      <w:pPr>
        <w:pStyle w:val="26"/>
        <w:tabs>
          <w:tab w:val="right" w:leader="dot" w:pos="9322"/>
        </w:tabs>
        <w:rPr>
          <w:kern w:val="2"/>
          <w:sz w:val="21"/>
        </w:rPr>
      </w:pPr>
      <w:r>
        <w:fldChar w:fldCharType="begin"/>
      </w:r>
      <w:r>
        <w:instrText xml:space="preserve"> HYPERLINK \l "_Toc56092759" </w:instrText>
      </w:r>
      <w:r>
        <w:fldChar w:fldCharType="separate"/>
      </w:r>
      <w:r>
        <w:rPr>
          <w:rStyle w:val="34"/>
          <w:rFonts w:hint="eastAsia" w:ascii="黑体" w:hAnsi="黑体"/>
        </w:rPr>
        <w:t>第二条</w:t>
      </w:r>
      <w:r>
        <w:rPr>
          <w:rStyle w:val="34"/>
        </w:rPr>
        <w:t xml:space="preserve"> 5G</w:t>
      </w:r>
      <w:r>
        <w:rPr>
          <w:rStyle w:val="34"/>
          <w:rFonts w:hint="eastAsia"/>
        </w:rPr>
        <w:t>建设挑战</w:t>
      </w:r>
      <w:r>
        <w:tab/>
      </w:r>
      <w:r>
        <w:fldChar w:fldCharType="begin"/>
      </w:r>
      <w:r>
        <w:instrText xml:space="preserve"> PAGEREF _Toc56092759 \h </w:instrText>
      </w:r>
      <w:r>
        <w:fldChar w:fldCharType="separate"/>
      </w:r>
      <w:r>
        <w:t>11</w:t>
      </w:r>
      <w:r>
        <w:fldChar w:fldCharType="end"/>
      </w:r>
      <w:r>
        <w:fldChar w:fldCharType="end"/>
      </w:r>
    </w:p>
    <w:p>
      <w:pPr>
        <w:pStyle w:val="23"/>
        <w:rPr>
          <w:kern w:val="2"/>
          <w:sz w:val="21"/>
        </w:rPr>
      </w:pPr>
      <w:r>
        <w:fldChar w:fldCharType="begin"/>
      </w:r>
      <w:r>
        <w:instrText xml:space="preserve"> HYPERLINK \l "_Toc56092762" </w:instrText>
      </w:r>
      <w:r>
        <w:fldChar w:fldCharType="separate"/>
      </w:r>
      <w:r>
        <w:rPr>
          <w:rStyle w:val="34"/>
          <w:rFonts w:hint="eastAsia"/>
        </w:rPr>
        <w:t>第四章</w:t>
      </w:r>
      <w:r>
        <w:rPr>
          <w:rStyle w:val="34"/>
        </w:rPr>
        <w:t xml:space="preserve"> </w:t>
      </w:r>
      <w:r>
        <w:rPr>
          <w:rStyle w:val="34"/>
          <w:rFonts w:hint="eastAsia"/>
        </w:rPr>
        <w:t>通信基础设施现状分析</w:t>
      </w:r>
      <w:r>
        <w:tab/>
      </w:r>
      <w:r>
        <w:fldChar w:fldCharType="begin"/>
      </w:r>
      <w:r>
        <w:instrText xml:space="preserve"> PAGEREF _Toc56092762 \h </w:instrText>
      </w:r>
      <w:r>
        <w:fldChar w:fldCharType="separate"/>
      </w:r>
      <w:r>
        <w:t>13</w:t>
      </w:r>
      <w:r>
        <w:fldChar w:fldCharType="end"/>
      </w:r>
      <w:r>
        <w:fldChar w:fldCharType="end"/>
      </w:r>
    </w:p>
    <w:p>
      <w:pPr>
        <w:pStyle w:val="26"/>
        <w:tabs>
          <w:tab w:val="right" w:leader="dot" w:pos="9322"/>
        </w:tabs>
        <w:rPr>
          <w:kern w:val="2"/>
          <w:sz w:val="21"/>
        </w:rPr>
      </w:pPr>
      <w:r>
        <w:fldChar w:fldCharType="begin"/>
      </w:r>
      <w:r>
        <w:instrText xml:space="preserve"> HYPERLINK \l "_Toc56092763" </w:instrText>
      </w:r>
      <w:r>
        <w:fldChar w:fldCharType="separate"/>
      </w:r>
      <w:r>
        <w:rPr>
          <w:rStyle w:val="34"/>
          <w:rFonts w:hint="eastAsia" w:ascii="黑体" w:hAnsi="黑体"/>
        </w:rPr>
        <w:t>第一条</w:t>
      </w:r>
      <w:r>
        <w:rPr>
          <w:rStyle w:val="34"/>
        </w:rPr>
        <w:t xml:space="preserve"> </w:t>
      </w:r>
      <w:r>
        <w:rPr>
          <w:rStyle w:val="34"/>
          <w:rFonts w:hint="eastAsia"/>
        </w:rPr>
        <w:t>梁平通信业务发展现状综述</w:t>
      </w:r>
      <w:r>
        <w:tab/>
      </w:r>
      <w:r>
        <w:fldChar w:fldCharType="begin"/>
      </w:r>
      <w:r>
        <w:instrText xml:space="preserve"> PAGEREF _Toc56092763 \h </w:instrText>
      </w:r>
      <w:r>
        <w:fldChar w:fldCharType="separate"/>
      </w:r>
      <w:r>
        <w:t>13</w:t>
      </w:r>
      <w:r>
        <w:fldChar w:fldCharType="end"/>
      </w:r>
      <w:r>
        <w:fldChar w:fldCharType="end"/>
      </w:r>
    </w:p>
    <w:p>
      <w:pPr>
        <w:pStyle w:val="26"/>
        <w:tabs>
          <w:tab w:val="right" w:leader="dot" w:pos="9322"/>
        </w:tabs>
        <w:rPr>
          <w:kern w:val="2"/>
          <w:sz w:val="21"/>
        </w:rPr>
      </w:pPr>
      <w:r>
        <w:fldChar w:fldCharType="begin"/>
      </w:r>
      <w:r>
        <w:instrText xml:space="preserve"> HYPERLINK \l "_Toc56092766" </w:instrText>
      </w:r>
      <w:r>
        <w:fldChar w:fldCharType="separate"/>
      </w:r>
      <w:r>
        <w:rPr>
          <w:rStyle w:val="34"/>
          <w:rFonts w:hint="eastAsia" w:ascii="黑体" w:hAnsi="黑体"/>
        </w:rPr>
        <w:t>第二条</w:t>
      </w:r>
      <w:r>
        <w:rPr>
          <w:rStyle w:val="34"/>
        </w:rPr>
        <w:t xml:space="preserve"> </w:t>
      </w:r>
      <w:r>
        <w:rPr>
          <w:rStyle w:val="34"/>
          <w:rFonts w:hint="eastAsia"/>
        </w:rPr>
        <w:t>梁平通信设施建设痛点分析</w:t>
      </w:r>
      <w:r>
        <w:tab/>
      </w:r>
      <w:r>
        <w:fldChar w:fldCharType="begin"/>
      </w:r>
      <w:r>
        <w:instrText xml:space="preserve"> PAGEREF _Toc56092766 \h </w:instrText>
      </w:r>
      <w:r>
        <w:fldChar w:fldCharType="separate"/>
      </w:r>
      <w:r>
        <w:t>14</w:t>
      </w:r>
      <w:r>
        <w:fldChar w:fldCharType="end"/>
      </w:r>
      <w:r>
        <w:fldChar w:fldCharType="end"/>
      </w:r>
    </w:p>
    <w:p>
      <w:pPr>
        <w:pStyle w:val="23"/>
        <w:rPr>
          <w:kern w:val="2"/>
          <w:sz w:val="21"/>
        </w:rPr>
      </w:pPr>
      <w:r>
        <w:fldChar w:fldCharType="begin"/>
      </w:r>
      <w:r>
        <w:instrText xml:space="preserve"> HYPERLINK \l "_Toc56092767" </w:instrText>
      </w:r>
      <w:r>
        <w:fldChar w:fldCharType="separate"/>
      </w:r>
      <w:r>
        <w:rPr>
          <w:rStyle w:val="34"/>
          <w:rFonts w:hint="eastAsia"/>
        </w:rPr>
        <w:t>第五章</w:t>
      </w:r>
      <w:r>
        <w:rPr>
          <w:rStyle w:val="34"/>
        </w:rPr>
        <w:t xml:space="preserve"> </w:t>
      </w:r>
      <w:r>
        <w:rPr>
          <w:rStyle w:val="34"/>
          <w:rFonts w:hint="eastAsia"/>
        </w:rPr>
        <w:t>通信业务需求预测</w:t>
      </w:r>
      <w:r>
        <w:tab/>
      </w:r>
      <w:r>
        <w:fldChar w:fldCharType="begin"/>
      </w:r>
      <w:r>
        <w:instrText xml:space="preserve"> PAGEREF _Toc56092767 \h </w:instrText>
      </w:r>
      <w:r>
        <w:fldChar w:fldCharType="separate"/>
      </w:r>
      <w:r>
        <w:t>16</w:t>
      </w:r>
      <w:r>
        <w:fldChar w:fldCharType="end"/>
      </w:r>
      <w:r>
        <w:fldChar w:fldCharType="end"/>
      </w:r>
    </w:p>
    <w:p>
      <w:pPr>
        <w:pStyle w:val="26"/>
        <w:tabs>
          <w:tab w:val="right" w:leader="dot" w:pos="9322"/>
        </w:tabs>
        <w:rPr>
          <w:kern w:val="2"/>
          <w:sz w:val="21"/>
        </w:rPr>
      </w:pPr>
      <w:r>
        <w:fldChar w:fldCharType="begin"/>
      </w:r>
      <w:r>
        <w:instrText xml:space="preserve"> HYPERLINK \l "_Toc56092768" </w:instrText>
      </w:r>
      <w:r>
        <w:fldChar w:fldCharType="separate"/>
      </w:r>
      <w:r>
        <w:rPr>
          <w:rStyle w:val="34"/>
          <w:rFonts w:hint="eastAsia" w:ascii="黑体" w:hAnsi="黑体"/>
        </w:rPr>
        <w:t>第一条</w:t>
      </w:r>
      <w:r>
        <w:rPr>
          <w:rStyle w:val="34"/>
        </w:rPr>
        <w:t xml:space="preserve"> </w:t>
      </w:r>
      <w:r>
        <w:rPr>
          <w:rStyle w:val="34"/>
          <w:rFonts w:hint="eastAsia"/>
        </w:rPr>
        <w:t>梁平移动通信需求预测</w:t>
      </w:r>
      <w:r>
        <w:tab/>
      </w:r>
      <w:r>
        <w:fldChar w:fldCharType="begin"/>
      </w:r>
      <w:r>
        <w:instrText xml:space="preserve"> PAGEREF _Toc56092768 \h </w:instrText>
      </w:r>
      <w:r>
        <w:fldChar w:fldCharType="separate"/>
      </w:r>
      <w:r>
        <w:t>16</w:t>
      </w:r>
      <w:r>
        <w:fldChar w:fldCharType="end"/>
      </w:r>
      <w:r>
        <w:fldChar w:fldCharType="end"/>
      </w:r>
    </w:p>
    <w:p>
      <w:pPr>
        <w:pStyle w:val="26"/>
        <w:tabs>
          <w:tab w:val="right" w:leader="dot" w:pos="9322"/>
        </w:tabs>
        <w:rPr>
          <w:kern w:val="2"/>
          <w:sz w:val="21"/>
        </w:rPr>
      </w:pPr>
      <w:r>
        <w:fldChar w:fldCharType="begin"/>
      </w:r>
      <w:r>
        <w:instrText xml:space="preserve"> HYPERLINK \l "_Toc56092773" </w:instrText>
      </w:r>
      <w:r>
        <w:fldChar w:fldCharType="separate"/>
      </w:r>
      <w:r>
        <w:rPr>
          <w:rStyle w:val="34"/>
          <w:rFonts w:hint="eastAsia" w:ascii="黑体" w:hAnsi="黑体"/>
        </w:rPr>
        <w:t>第二条</w:t>
      </w:r>
      <w:r>
        <w:rPr>
          <w:rStyle w:val="34"/>
        </w:rPr>
        <w:t xml:space="preserve"> </w:t>
      </w:r>
      <w:r>
        <w:rPr>
          <w:rStyle w:val="34"/>
          <w:rFonts w:hint="eastAsia"/>
        </w:rPr>
        <w:t>梁平智慧应用需求预测</w:t>
      </w:r>
      <w:r>
        <w:tab/>
      </w:r>
      <w:r>
        <w:fldChar w:fldCharType="begin"/>
      </w:r>
      <w:r>
        <w:instrText xml:space="preserve"> PAGEREF _Toc56092773 \h </w:instrText>
      </w:r>
      <w:r>
        <w:fldChar w:fldCharType="separate"/>
      </w:r>
      <w:r>
        <w:t>17</w:t>
      </w:r>
      <w:r>
        <w:fldChar w:fldCharType="end"/>
      </w:r>
      <w:r>
        <w:fldChar w:fldCharType="end"/>
      </w:r>
    </w:p>
    <w:p>
      <w:pPr>
        <w:pStyle w:val="23"/>
        <w:rPr>
          <w:kern w:val="2"/>
          <w:sz w:val="21"/>
        </w:rPr>
      </w:pPr>
      <w:r>
        <w:fldChar w:fldCharType="begin"/>
      </w:r>
      <w:r>
        <w:instrText xml:space="preserve"> HYPERLINK \l "_Toc56092774" </w:instrText>
      </w:r>
      <w:r>
        <w:fldChar w:fldCharType="separate"/>
      </w:r>
      <w:r>
        <w:rPr>
          <w:rStyle w:val="34"/>
          <w:rFonts w:hint="eastAsia"/>
        </w:rPr>
        <w:t>第六章</w:t>
      </w:r>
      <w:r>
        <w:rPr>
          <w:rStyle w:val="34"/>
        </w:rPr>
        <w:t xml:space="preserve"> </w:t>
      </w:r>
      <w:r>
        <w:rPr>
          <w:rStyle w:val="34"/>
          <w:rFonts w:hint="eastAsia"/>
        </w:rPr>
        <w:t>通信设施规划</w:t>
      </w:r>
      <w:r>
        <w:tab/>
      </w:r>
      <w:r>
        <w:fldChar w:fldCharType="begin"/>
      </w:r>
      <w:r>
        <w:instrText xml:space="preserve"> PAGEREF _Toc56092774 \h </w:instrText>
      </w:r>
      <w:r>
        <w:fldChar w:fldCharType="separate"/>
      </w:r>
      <w:r>
        <w:t>19</w:t>
      </w:r>
      <w:r>
        <w:fldChar w:fldCharType="end"/>
      </w:r>
      <w:r>
        <w:fldChar w:fldCharType="end"/>
      </w:r>
    </w:p>
    <w:p>
      <w:pPr>
        <w:pStyle w:val="26"/>
        <w:tabs>
          <w:tab w:val="right" w:leader="dot" w:pos="9322"/>
        </w:tabs>
        <w:rPr>
          <w:kern w:val="2"/>
          <w:sz w:val="21"/>
        </w:rPr>
      </w:pPr>
      <w:r>
        <w:fldChar w:fldCharType="begin"/>
      </w:r>
      <w:r>
        <w:instrText xml:space="preserve"> HYPERLINK \l "_Toc56092775" </w:instrText>
      </w:r>
      <w:r>
        <w:fldChar w:fldCharType="separate"/>
      </w:r>
      <w:r>
        <w:rPr>
          <w:rStyle w:val="34"/>
          <w:rFonts w:hint="eastAsia" w:ascii="黑体" w:hAnsi="黑体"/>
        </w:rPr>
        <w:t>第一条</w:t>
      </w:r>
      <w:r>
        <w:rPr>
          <w:rStyle w:val="34"/>
        </w:rPr>
        <w:t xml:space="preserve"> 5G</w:t>
      </w:r>
      <w:r>
        <w:rPr>
          <w:rStyle w:val="34"/>
          <w:rFonts w:hint="eastAsia"/>
        </w:rPr>
        <w:t>通信机房规划</w:t>
      </w:r>
      <w:r>
        <w:tab/>
      </w:r>
      <w:r>
        <w:fldChar w:fldCharType="begin"/>
      </w:r>
      <w:r>
        <w:instrText xml:space="preserve"> PAGEREF _Toc56092775 \h </w:instrText>
      </w:r>
      <w:r>
        <w:fldChar w:fldCharType="separate"/>
      </w:r>
      <w:r>
        <w:t>19</w:t>
      </w:r>
      <w:r>
        <w:fldChar w:fldCharType="end"/>
      </w:r>
      <w:r>
        <w:fldChar w:fldCharType="end"/>
      </w:r>
    </w:p>
    <w:p>
      <w:pPr>
        <w:pStyle w:val="26"/>
        <w:tabs>
          <w:tab w:val="right" w:leader="dot" w:pos="9322"/>
        </w:tabs>
        <w:rPr>
          <w:kern w:val="2"/>
          <w:sz w:val="21"/>
        </w:rPr>
      </w:pPr>
      <w:r>
        <w:fldChar w:fldCharType="begin"/>
      </w:r>
      <w:r>
        <w:instrText xml:space="preserve"> HYPERLINK \l "_Toc56092778" </w:instrText>
      </w:r>
      <w:r>
        <w:fldChar w:fldCharType="separate"/>
      </w:r>
      <w:r>
        <w:rPr>
          <w:rStyle w:val="34"/>
          <w:rFonts w:hint="eastAsia" w:ascii="黑体" w:hAnsi="黑体"/>
        </w:rPr>
        <w:t>第二条</w:t>
      </w:r>
      <w:r>
        <w:rPr>
          <w:rStyle w:val="34"/>
        </w:rPr>
        <w:t xml:space="preserve"> 5G</w:t>
      </w:r>
      <w:r>
        <w:rPr>
          <w:rStyle w:val="34"/>
          <w:rFonts w:hint="eastAsia"/>
        </w:rPr>
        <w:t>通信基站规划</w:t>
      </w:r>
      <w:r>
        <w:tab/>
      </w:r>
      <w:r>
        <w:fldChar w:fldCharType="begin"/>
      </w:r>
      <w:r>
        <w:instrText xml:space="preserve"> PAGEREF _Toc56092778 \h </w:instrText>
      </w:r>
      <w:r>
        <w:fldChar w:fldCharType="separate"/>
      </w:r>
      <w:r>
        <w:t>22</w:t>
      </w:r>
      <w:r>
        <w:fldChar w:fldCharType="end"/>
      </w:r>
      <w:r>
        <w:fldChar w:fldCharType="end"/>
      </w:r>
    </w:p>
    <w:p>
      <w:pPr>
        <w:pStyle w:val="23"/>
        <w:rPr>
          <w:kern w:val="2"/>
          <w:sz w:val="21"/>
        </w:rPr>
      </w:pPr>
      <w:r>
        <w:fldChar w:fldCharType="begin"/>
      </w:r>
      <w:r>
        <w:instrText xml:space="preserve"> HYPERLINK \l "_Toc56092792" </w:instrText>
      </w:r>
      <w:r>
        <w:fldChar w:fldCharType="separate"/>
      </w:r>
      <w:r>
        <w:rPr>
          <w:rStyle w:val="34"/>
          <w:rFonts w:hint="eastAsia"/>
        </w:rPr>
        <w:t>第七章</w:t>
      </w:r>
      <w:r>
        <w:rPr>
          <w:rStyle w:val="34"/>
        </w:rPr>
        <w:t xml:space="preserve"> </w:t>
      </w:r>
      <w:r>
        <w:rPr>
          <w:rStyle w:val="34"/>
          <w:rFonts w:hint="eastAsia"/>
        </w:rPr>
        <w:t>环境保护</w:t>
      </w:r>
      <w:r>
        <w:tab/>
      </w:r>
      <w:r>
        <w:fldChar w:fldCharType="begin"/>
      </w:r>
      <w:r>
        <w:instrText xml:space="preserve"> PAGEREF _Toc56092792 \h </w:instrText>
      </w:r>
      <w:r>
        <w:fldChar w:fldCharType="separate"/>
      </w:r>
      <w:r>
        <w:t>54</w:t>
      </w:r>
      <w:r>
        <w:fldChar w:fldCharType="end"/>
      </w:r>
      <w:r>
        <w:fldChar w:fldCharType="end"/>
      </w:r>
    </w:p>
    <w:p>
      <w:pPr>
        <w:pStyle w:val="26"/>
        <w:tabs>
          <w:tab w:val="right" w:leader="dot" w:pos="9322"/>
        </w:tabs>
        <w:rPr>
          <w:kern w:val="2"/>
          <w:sz w:val="21"/>
        </w:rPr>
      </w:pPr>
      <w:r>
        <w:fldChar w:fldCharType="begin"/>
      </w:r>
      <w:r>
        <w:instrText xml:space="preserve"> HYPERLINK \l "_Toc56092793" </w:instrText>
      </w:r>
      <w:r>
        <w:fldChar w:fldCharType="separate"/>
      </w:r>
      <w:r>
        <w:rPr>
          <w:rStyle w:val="34"/>
          <w:rFonts w:hint="eastAsia" w:ascii="黑体" w:hAnsi="黑体"/>
        </w:rPr>
        <w:t>第一条</w:t>
      </w:r>
      <w:r>
        <w:rPr>
          <w:rStyle w:val="34"/>
        </w:rPr>
        <w:t xml:space="preserve"> </w:t>
      </w:r>
      <w:r>
        <w:rPr>
          <w:rStyle w:val="34"/>
          <w:rFonts w:hint="eastAsia"/>
        </w:rPr>
        <w:t>电磁辐射</w:t>
      </w:r>
      <w:r>
        <w:tab/>
      </w:r>
      <w:r>
        <w:fldChar w:fldCharType="begin"/>
      </w:r>
      <w:r>
        <w:instrText xml:space="preserve"> PAGEREF _Toc56092793 \h </w:instrText>
      </w:r>
      <w:r>
        <w:fldChar w:fldCharType="separate"/>
      </w:r>
      <w:r>
        <w:t>54</w:t>
      </w:r>
      <w:r>
        <w:fldChar w:fldCharType="end"/>
      </w:r>
      <w:r>
        <w:fldChar w:fldCharType="end"/>
      </w:r>
    </w:p>
    <w:p>
      <w:pPr>
        <w:pStyle w:val="26"/>
        <w:tabs>
          <w:tab w:val="right" w:leader="dot" w:pos="9322"/>
        </w:tabs>
        <w:rPr>
          <w:kern w:val="2"/>
          <w:sz w:val="21"/>
        </w:rPr>
      </w:pPr>
      <w:r>
        <w:fldChar w:fldCharType="begin"/>
      </w:r>
      <w:r>
        <w:instrText xml:space="preserve"> HYPERLINK \l "_Toc56092794" </w:instrText>
      </w:r>
      <w:r>
        <w:fldChar w:fldCharType="separate"/>
      </w:r>
      <w:r>
        <w:rPr>
          <w:rStyle w:val="34"/>
          <w:rFonts w:hint="eastAsia" w:ascii="黑体" w:hAnsi="黑体"/>
        </w:rPr>
        <w:t>第二条</w:t>
      </w:r>
      <w:r>
        <w:rPr>
          <w:rStyle w:val="34"/>
        </w:rPr>
        <w:t xml:space="preserve"> </w:t>
      </w:r>
      <w:r>
        <w:rPr>
          <w:rStyle w:val="34"/>
          <w:rFonts w:hint="eastAsia"/>
        </w:rPr>
        <w:t>生态保护</w:t>
      </w:r>
      <w:r>
        <w:tab/>
      </w:r>
      <w:r>
        <w:fldChar w:fldCharType="begin"/>
      </w:r>
      <w:r>
        <w:instrText xml:space="preserve"> PAGEREF _Toc56092794 \h </w:instrText>
      </w:r>
      <w:r>
        <w:fldChar w:fldCharType="separate"/>
      </w:r>
      <w:r>
        <w:t>54</w:t>
      </w:r>
      <w:r>
        <w:fldChar w:fldCharType="end"/>
      </w:r>
      <w:r>
        <w:fldChar w:fldCharType="end"/>
      </w:r>
    </w:p>
    <w:p>
      <w:pPr>
        <w:pStyle w:val="26"/>
        <w:tabs>
          <w:tab w:val="right" w:leader="dot" w:pos="9322"/>
        </w:tabs>
        <w:rPr>
          <w:kern w:val="2"/>
          <w:sz w:val="21"/>
        </w:rPr>
      </w:pPr>
      <w:r>
        <w:fldChar w:fldCharType="begin"/>
      </w:r>
      <w:r>
        <w:instrText xml:space="preserve"> HYPERLINK \l "_Toc56092795" </w:instrText>
      </w:r>
      <w:r>
        <w:fldChar w:fldCharType="separate"/>
      </w:r>
      <w:r>
        <w:rPr>
          <w:rStyle w:val="34"/>
          <w:rFonts w:hint="eastAsia" w:ascii="黑体" w:hAnsi="黑体"/>
        </w:rPr>
        <w:t>第三条</w:t>
      </w:r>
      <w:r>
        <w:rPr>
          <w:rStyle w:val="34"/>
        </w:rPr>
        <w:t xml:space="preserve"> </w:t>
      </w:r>
      <w:r>
        <w:rPr>
          <w:rStyle w:val="34"/>
          <w:rFonts w:hint="eastAsia"/>
        </w:rPr>
        <w:t>噪声控制</w:t>
      </w:r>
      <w:r>
        <w:tab/>
      </w:r>
      <w:r>
        <w:fldChar w:fldCharType="begin"/>
      </w:r>
      <w:r>
        <w:instrText xml:space="preserve"> PAGEREF _Toc56092795 \h </w:instrText>
      </w:r>
      <w:r>
        <w:fldChar w:fldCharType="separate"/>
      </w:r>
      <w:r>
        <w:t>54</w:t>
      </w:r>
      <w:r>
        <w:fldChar w:fldCharType="end"/>
      </w:r>
      <w:r>
        <w:fldChar w:fldCharType="end"/>
      </w:r>
    </w:p>
    <w:p>
      <w:pPr>
        <w:pStyle w:val="23"/>
        <w:rPr>
          <w:kern w:val="2"/>
          <w:sz w:val="21"/>
        </w:rPr>
      </w:pPr>
      <w:r>
        <w:fldChar w:fldCharType="begin"/>
      </w:r>
      <w:r>
        <w:instrText xml:space="preserve"> HYPERLINK \l "_Toc56092796" </w:instrText>
      </w:r>
      <w:r>
        <w:fldChar w:fldCharType="separate"/>
      </w:r>
      <w:r>
        <w:rPr>
          <w:rStyle w:val="34"/>
          <w:rFonts w:hint="eastAsia"/>
        </w:rPr>
        <w:t>第八章</w:t>
      </w:r>
      <w:r>
        <w:rPr>
          <w:rStyle w:val="34"/>
        </w:rPr>
        <w:t xml:space="preserve"> 5G</w:t>
      </w:r>
      <w:r>
        <w:rPr>
          <w:rStyle w:val="34"/>
          <w:rFonts w:hint="eastAsia"/>
        </w:rPr>
        <w:t>安全分析</w:t>
      </w:r>
      <w:r>
        <w:tab/>
      </w:r>
      <w:r>
        <w:fldChar w:fldCharType="begin"/>
      </w:r>
      <w:r>
        <w:instrText xml:space="preserve"> PAGEREF _Toc56092796 \h </w:instrText>
      </w:r>
      <w:r>
        <w:fldChar w:fldCharType="separate"/>
      </w:r>
      <w:r>
        <w:t>55</w:t>
      </w:r>
      <w:r>
        <w:fldChar w:fldCharType="end"/>
      </w:r>
      <w:r>
        <w:fldChar w:fldCharType="end"/>
      </w:r>
    </w:p>
    <w:p>
      <w:pPr>
        <w:pStyle w:val="26"/>
        <w:tabs>
          <w:tab w:val="right" w:leader="dot" w:pos="9322"/>
        </w:tabs>
        <w:rPr>
          <w:kern w:val="2"/>
          <w:sz w:val="21"/>
        </w:rPr>
      </w:pPr>
      <w:r>
        <w:fldChar w:fldCharType="begin"/>
      </w:r>
      <w:r>
        <w:instrText xml:space="preserve"> HYPERLINK \l "_Toc56092797" </w:instrText>
      </w:r>
      <w:r>
        <w:fldChar w:fldCharType="separate"/>
      </w:r>
      <w:r>
        <w:rPr>
          <w:rStyle w:val="34"/>
          <w:rFonts w:hint="eastAsia" w:ascii="黑体" w:hAnsi="黑体"/>
        </w:rPr>
        <w:t>第四条</w:t>
      </w:r>
      <w:r>
        <w:rPr>
          <w:rStyle w:val="34"/>
        </w:rPr>
        <w:t xml:space="preserve"> 5G </w:t>
      </w:r>
      <w:r>
        <w:rPr>
          <w:rStyle w:val="34"/>
          <w:rFonts w:hint="eastAsia"/>
        </w:rPr>
        <w:t>关键技术安全分析</w:t>
      </w:r>
      <w:r>
        <w:tab/>
      </w:r>
      <w:r>
        <w:fldChar w:fldCharType="begin"/>
      </w:r>
      <w:r>
        <w:instrText xml:space="preserve"> PAGEREF _Toc56092797 \h </w:instrText>
      </w:r>
      <w:r>
        <w:fldChar w:fldCharType="separate"/>
      </w:r>
      <w:r>
        <w:t>55</w:t>
      </w:r>
      <w:r>
        <w:fldChar w:fldCharType="end"/>
      </w:r>
      <w:r>
        <w:fldChar w:fldCharType="end"/>
      </w:r>
    </w:p>
    <w:p>
      <w:pPr>
        <w:pStyle w:val="26"/>
        <w:tabs>
          <w:tab w:val="right" w:leader="dot" w:pos="9322"/>
        </w:tabs>
        <w:rPr>
          <w:kern w:val="2"/>
          <w:sz w:val="21"/>
        </w:rPr>
      </w:pPr>
      <w:r>
        <w:fldChar w:fldCharType="begin"/>
      </w:r>
      <w:r>
        <w:instrText xml:space="preserve"> HYPERLINK \l "_Toc56092802" </w:instrText>
      </w:r>
      <w:r>
        <w:fldChar w:fldCharType="separate"/>
      </w:r>
      <w:r>
        <w:rPr>
          <w:rStyle w:val="34"/>
          <w:rFonts w:hint="eastAsia" w:ascii="黑体" w:hAnsi="黑体"/>
        </w:rPr>
        <w:t>第五条</w:t>
      </w:r>
      <w:r>
        <w:rPr>
          <w:rStyle w:val="34"/>
        </w:rPr>
        <w:t xml:space="preserve"> 5G </w:t>
      </w:r>
      <w:r>
        <w:rPr>
          <w:rStyle w:val="34"/>
          <w:rFonts w:hint="eastAsia"/>
        </w:rPr>
        <w:t>典型场景安全分析</w:t>
      </w:r>
      <w:r>
        <w:tab/>
      </w:r>
      <w:r>
        <w:fldChar w:fldCharType="begin"/>
      </w:r>
      <w:r>
        <w:instrText xml:space="preserve"> PAGEREF _Toc56092802 \h </w:instrText>
      </w:r>
      <w:r>
        <w:fldChar w:fldCharType="separate"/>
      </w:r>
      <w:r>
        <w:t>56</w:t>
      </w:r>
      <w:r>
        <w:fldChar w:fldCharType="end"/>
      </w:r>
      <w:r>
        <w:fldChar w:fldCharType="end"/>
      </w:r>
    </w:p>
    <w:p>
      <w:pPr>
        <w:pStyle w:val="23"/>
        <w:rPr>
          <w:kern w:val="2"/>
          <w:sz w:val="21"/>
        </w:rPr>
      </w:pPr>
      <w:r>
        <w:fldChar w:fldCharType="begin"/>
      </w:r>
      <w:r>
        <w:instrText xml:space="preserve"> HYPERLINK \l "_Toc56092806" </w:instrText>
      </w:r>
      <w:r>
        <w:fldChar w:fldCharType="separate"/>
      </w:r>
      <w:r>
        <w:rPr>
          <w:rStyle w:val="34"/>
          <w:rFonts w:hint="eastAsia"/>
        </w:rPr>
        <w:t>第九章</w:t>
      </w:r>
      <w:r>
        <w:rPr>
          <w:rStyle w:val="34"/>
        </w:rPr>
        <w:t xml:space="preserve"> 5G</w:t>
      </w:r>
      <w:r>
        <w:rPr>
          <w:rStyle w:val="34"/>
          <w:rFonts w:hint="eastAsia"/>
        </w:rPr>
        <w:t>设备能耗</w:t>
      </w:r>
      <w:r>
        <w:tab/>
      </w:r>
      <w:r>
        <w:fldChar w:fldCharType="begin"/>
      </w:r>
      <w:r>
        <w:instrText xml:space="preserve"> PAGEREF _Toc56092806 \h </w:instrText>
      </w:r>
      <w:r>
        <w:fldChar w:fldCharType="separate"/>
      </w:r>
      <w:r>
        <w:t>1</w:t>
      </w:r>
      <w:r>
        <w:fldChar w:fldCharType="end"/>
      </w:r>
      <w:r>
        <w:fldChar w:fldCharType="end"/>
      </w:r>
    </w:p>
    <w:p>
      <w:pPr>
        <w:pStyle w:val="23"/>
        <w:rPr>
          <w:kern w:val="2"/>
          <w:sz w:val="21"/>
        </w:rPr>
      </w:pPr>
      <w:r>
        <w:fldChar w:fldCharType="begin"/>
      </w:r>
      <w:r>
        <w:instrText xml:space="preserve"> HYPERLINK \l "_Toc56092807" </w:instrText>
      </w:r>
      <w:r>
        <w:fldChar w:fldCharType="separate"/>
      </w:r>
      <w:r>
        <w:rPr>
          <w:rStyle w:val="34"/>
          <w:rFonts w:hint="eastAsia"/>
        </w:rPr>
        <w:t>第十章</w:t>
      </w:r>
      <w:r>
        <w:rPr>
          <w:rStyle w:val="34"/>
        </w:rPr>
        <w:t xml:space="preserve"> 5G</w:t>
      </w:r>
      <w:r>
        <w:rPr>
          <w:rStyle w:val="34"/>
          <w:rFonts w:hint="eastAsia"/>
        </w:rPr>
        <w:t>基站与干扰协调</w:t>
      </w:r>
      <w:r>
        <w:tab/>
      </w:r>
      <w:r>
        <w:fldChar w:fldCharType="begin"/>
      </w:r>
      <w:r>
        <w:instrText xml:space="preserve"> PAGEREF _Toc56092807 \h </w:instrText>
      </w:r>
      <w:r>
        <w:fldChar w:fldCharType="separate"/>
      </w:r>
      <w:r>
        <w:t>2</w:t>
      </w:r>
      <w:r>
        <w:fldChar w:fldCharType="end"/>
      </w:r>
      <w:r>
        <w:fldChar w:fldCharType="end"/>
      </w:r>
    </w:p>
    <w:p>
      <w:pPr>
        <w:pStyle w:val="26"/>
        <w:tabs>
          <w:tab w:val="right" w:leader="dot" w:pos="9322"/>
        </w:tabs>
        <w:rPr>
          <w:kern w:val="2"/>
          <w:sz w:val="21"/>
        </w:rPr>
      </w:pPr>
      <w:r>
        <w:fldChar w:fldCharType="begin"/>
      </w:r>
      <w:r>
        <w:instrText xml:space="preserve"> HYPERLINK \l "_Toc56092808" </w:instrText>
      </w:r>
      <w:r>
        <w:fldChar w:fldCharType="separate"/>
      </w:r>
      <w:r>
        <w:rPr>
          <w:rStyle w:val="34"/>
          <w:rFonts w:hint="eastAsia" w:ascii="黑体" w:hAnsi="黑体"/>
        </w:rPr>
        <w:t>第一条</w:t>
      </w:r>
      <w:r>
        <w:rPr>
          <w:rStyle w:val="34"/>
        </w:rPr>
        <w:t xml:space="preserve"> 5G</w:t>
      </w:r>
      <w:r>
        <w:rPr>
          <w:rStyle w:val="34"/>
          <w:rFonts w:hint="eastAsia"/>
        </w:rPr>
        <w:t>基站与卫星地球站干扰</w:t>
      </w:r>
      <w:r>
        <w:tab/>
      </w:r>
      <w:r>
        <w:fldChar w:fldCharType="begin"/>
      </w:r>
      <w:r>
        <w:instrText xml:space="preserve"> PAGEREF _Toc56092808 \h </w:instrText>
      </w:r>
      <w:r>
        <w:fldChar w:fldCharType="separate"/>
      </w:r>
      <w:r>
        <w:t>2</w:t>
      </w:r>
      <w:r>
        <w:fldChar w:fldCharType="end"/>
      </w:r>
      <w:r>
        <w:fldChar w:fldCharType="end"/>
      </w:r>
    </w:p>
    <w:p>
      <w:pPr>
        <w:pStyle w:val="26"/>
        <w:tabs>
          <w:tab w:val="right" w:leader="dot" w:pos="9322"/>
        </w:tabs>
        <w:rPr>
          <w:kern w:val="2"/>
          <w:sz w:val="21"/>
        </w:rPr>
      </w:pPr>
      <w:r>
        <w:fldChar w:fldCharType="begin"/>
      </w:r>
      <w:r>
        <w:instrText xml:space="preserve"> HYPERLINK \l "_Toc56092809" </w:instrText>
      </w:r>
      <w:r>
        <w:fldChar w:fldCharType="separate"/>
      </w:r>
      <w:r>
        <w:rPr>
          <w:rStyle w:val="34"/>
          <w:rFonts w:hint="eastAsia" w:ascii="黑体" w:hAnsi="黑体"/>
        </w:rPr>
        <w:t>第二条</w:t>
      </w:r>
      <w:r>
        <w:rPr>
          <w:rStyle w:val="34"/>
        </w:rPr>
        <w:t xml:space="preserve"> 5G</w:t>
      </w:r>
      <w:r>
        <w:rPr>
          <w:rStyle w:val="34"/>
          <w:rFonts w:hint="eastAsia"/>
        </w:rPr>
        <w:t>基站与固定业务台（站）干扰</w:t>
      </w:r>
      <w:r>
        <w:tab/>
      </w:r>
      <w:r>
        <w:fldChar w:fldCharType="begin"/>
      </w:r>
      <w:r>
        <w:instrText xml:space="preserve"> PAGEREF _Toc56092809 \h </w:instrText>
      </w:r>
      <w:r>
        <w:fldChar w:fldCharType="separate"/>
      </w:r>
      <w:r>
        <w:t>3</w:t>
      </w:r>
      <w:r>
        <w:fldChar w:fldCharType="end"/>
      </w:r>
      <w:r>
        <w:fldChar w:fldCharType="end"/>
      </w:r>
    </w:p>
    <w:p>
      <w:pPr>
        <w:pStyle w:val="26"/>
        <w:tabs>
          <w:tab w:val="right" w:leader="dot" w:pos="9322"/>
        </w:tabs>
        <w:rPr>
          <w:kern w:val="2"/>
          <w:sz w:val="21"/>
        </w:rPr>
      </w:pPr>
      <w:r>
        <w:fldChar w:fldCharType="begin"/>
      </w:r>
      <w:r>
        <w:instrText xml:space="preserve"> HYPERLINK \l "_Toc56092810" </w:instrText>
      </w:r>
      <w:r>
        <w:fldChar w:fldCharType="separate"/>
      </w:r>
      <w:r>
        <w:rPr>
          <w:rStyle w:val="34"/>
          <w:rFonts w:hint="eastAsia" w:ascii="黑体" w:hAnsi="黑体"/>
        </w:rPr>
        <w:t>第三条</w:t>
      </w:r>
      <w:r>
        <w:rPr>
          <w:rStyle w:val="34"/>
        </w:rPr>
        <w:t xml:space="preserve"> 5G</w:t>
      </w:r>
      <w:r>
        <w:rPr>
          <w:rStyle w:val="34"/>
          <w:rFonts w:hint="eastAsia"/>
        </w:rPr>
        <w:t>基站与射电天文台干扰</w:t>
      </w:r>
      <w:r>
        <w:tab/>
      </w:r>
      <w:r>
        <w:fldChar w:fldCharType="begin"/>
      </w:r>
      <w:r>
        <w:instrText xml:space="preserve"> PAGEREF _Toc56092810 \h </w:instrText>
      </w:r>
      <w:r>
        <w:fldChar w:fldCharType="separate"/>
      </w:r>
      <w:r>
        <w:t>4</w:t>
      </w:r>
      <w:r>
        <w:fldChar w:fldCharType="end"/>
      </w:r>
      <w:r>
        <w:fldChar w:fldCharType="end"/>
      </w:r>
    </w:p>
    <w:p>
      <w:pPr>
        <w:pStyle w:val="23"/>
        <w:rPr>
          <w:kern w:val="2"/>
          <w:sz w:val="21"/>
        </w:rPr>
      </w:pPr>
      <w:r>
        <w:fldChar w:fldCharType="begin"/>
      </w:r>
      <w:r>
        <w:instrText xml:space="preserve"> HYPERLINK \l "_Toc56092811" </w:instrText>
      </w:r>
      <w:r>
        <w:fldChar w:fldCharType="separate"/>
      </w:r>
      <w:r>
        <w:rPr>
          <w:rStyle w:val="34"/>
          <w:rFonts w:hint="eastAsia"/>
        </w:rPr>
        <w:t>第十一章</w:t>
      </w:r>
      <w:r>
        <w:rPr>
          <w:rStyle w:val="34"/>
        </w:rPr>
        <w:t xml:space="preserve"> </w:t>
      </w:r>
      <w:r>
        <w:rPr>
          <w:rStyle w:val="34"/>
          <w:rFonts w:hint="eastAsia"/>
        </w:rPr>
        <w:t>规划实施建议</w:t>
      </w:r>
      <w:r>
        <w:tab/>
      </w:r>
      <w:r>
        <w:fldChar w:fldCharType="begin"/>
      </w:r>
      <w:r>
        <w:instrText xml:space="preserve"> PAGEREF _Toc56092811 \h </w:instrText>
      </w:r>
      <w:r>
        <w:fldChar w:fldCharType="separate"/>
      </w:r>
      <w:r>
        <w:t>6</w:t>
      </w:r>
      <w:r>
        <w:fldChar w:fldCharType="end"/>
      </w:r>
      <w:r>
        <w:fldChar w:fldCharType="end"/>
      </w:r>
    </w:p>
    <w:p>
      <w:pPr>
        <w:pStyle w:val="26"/>
        <w:tabs>
          <w:tab w:val="right" w:leader="dot" w:pos="9322"/>
        </w:tabs>
        <w:rPr>
          <w:kern w:val="2"/>
          <w:sz w:val="21"/>
        </w:rPr>
      </w:pPr>
      <w:r>
        <w:fldChar w:fldCharType="begin"/>
      </w:r>
      <w:r>
        <w:instrText xml:space="preserve"> HYPERLINK \l "_Toc56092812" </w:instrText>
      </w:r>
      <w:r>
        <w:fldChar w:fldCharType="separate"/>
      </w:r>
      <w:r>
        <w:rPr>
          <w:rStyle w:val="34"/>
          <w:rFonts w:hint="eastAsia" w:ascii="黑体" w:hAnsi="黑体"/>
        </w:rPr>
        <w:t>第一条</w:t>
      </w:r>
      <w:r>
        <w:rPr>
          <w:rStyle w:val="34"/>
        </w:rPr>
        <w:t xml:space="preserve"> </w:t>
      </w:r>
      <w:r>
        <w:rPr>
          <w:rStyle w:val="34"/>
          <w:rFonts w:hint="eastAsia"/>
        </w:rPr>
        <w:t>加强组织管理保障</w:t>
      </w:r>
      <w:r>
        <w:tab/>
      </w:r>
      <w:r>
        <w:fldChar w:fldCharType="begin"/>
      </w:r>
      <w:r>
        <w:instrText xml:space="preserve"> PAGEREF _Toc56092812 \h </w:instrText>
      </w:r>
      <w:r>
        <w:fldChar w:fldCharType="separate"/>
      </w:r>
      <w:r>
        <w:t>6</w:t>
      </w:r>
      <w:r>
        <w:fldChar w:fldCharType="end"/>
      </w:r>
      <w:r>
        <w:fldChar w:fldCharType="end"/>
      </w:r>
    </w:p>
    <w:p>
      <w:pPr>
        <w:pStyle w:val="26"/>
        <w:tabs>
          <w:tab w:val="right" w:leader="dot" w:pos="9322"/>
        </w:tabs>
        <w:rPr>
          <w:kern w:val="2"/>
          <w:sz w:val="21"/>
        </w:rPr>
      </w:pPr>
      <w:r>
        <w:fldChar w:fldCharType="begin"/>
      </w:r>
      <w:r>
        <w:instrText xml:space="preserve"> HYPERLINK \l "_Toc56092813" </w:instrText>
      </w:r>
      <w:r>
        <w:fldChar w:fldCharType="separate"/>
      </w:r>
      <w:r>
        <w:rPr>
          <w:rStyle w:val="34"/>
          <w:rFonts w:hint="eastAsia" w:ascii="黑体" w:hAnsi="黑体"/>
        </w:rPr>
        <w:t>第二条</w:t>
      </w:r>
      <w:r>
        <w:rPr>
          <w:rStyle w:val="34"/>
        </w:rPr>
        <w:t xml:space="preserve"> </w:t>
      </w:r>
      <w:r>
        <w:rPr>
          <w:rStyle w:val="34"/>
          <w:rFonts w:hint="eastAsia"/>
        </w:rPr>
        <w:t>加大政策扶持力度</w:t>
      </w:r>
      <w:r>
        <w:tab/>
      </w:r>
      <w:r>
        <w:fldChar w:fldCharType="begin"/>
      </w:r>
      <w:r>
        <w:instrText xml:space="preserve"> PAGEREF _Toc56092813 \h </w:instrText>
      </w:r>
      <w:r>
        <w:fldChar w:fldCharType="separate"/>
      </w:r>
      <w:r>
        <w:t>6</w:t>
      </w:r>
      <w:r>
        <w:fldChar w:fldCharType="end"/>
      </w:r>
      <w:r>
        <w:fldChar w:fldCharType="end"/>
      </w:r>
    </w:p>
    <w:p>
      <w:pPr>
        <w:pStyle w:val="26"/>
        <w:tabs>
          <w:tab w:val="right" w:leader="dot" w:pos="9322"/>
        </w:tabs>
        <w:rPr>
          <w:kern w:val="2"/>
          <w:sz w:val="21"/>
        </w:rPr>
      </w:pPr>
      <w:r>
        <w:fldChar w:fldCharType="begin"/>
      </w:r>
      <w:r>
        <w:instrText xml:space="preserve"> HYPERLINK \l "_Toc56092814" </w:instrText>
      </w:r>
      <w:r>
        <w:fldChar w:fldCharType="separate"/>
      </w:r>
      <w:r>
        <w:rPr>
          <w:rStyle w:val="34"/>
          <w:rFonts w:hint="eastAsia" w:ascii="黑体" w:hAnsi="黑体"/>
        </w:rPr>
        <w:t>第三条</w:t>
      </w:r>
      <w:r>
        <w:rPr>
          <w:rStyle w:val="34"/>
        </w:rPr>
        <w:t xml:space="preserve"> </w:t>
      </w:r>
      <w:r>
        <w:rPr>
          <w:rStyle w:val="34"/>
          <w:rFonts w:hint="eastAsia"/>
        </w:rPr>
        <w:t>优化行业发展环境</w:t>
      </w:r>
      <w:r>
        <w:tab/>
      </w:r>
      <w:r>
        <w:fldChar w:fldCharType="begin"/>
      </w:r>
      <w:r>
        <w:instrText xml:space="preserve"> PAGEREF _Toc56092814 \h </w:instrText>
      </w:r>
      <w:r>
        <w:fldChar w:fldCharType="separate"/>
      </w:r>
      <w:r>
        <w:t>7</w:t>
      </w:r>
      <w:r>
        <w:fldChar w:fldCharType="end"/>
      </w:r>
      <w:r>
        <w:fldChar w:fldCharType="end"/>
      </w:r>
    </w:p>
    <w:p>
      <w:pPr>
        <w:pStyle w:val="26"/>
        <w:tabs>
          <w:tab w:val="right" w:leader="dot" w:pos="9322"/>
        </w:tabs>
        <w:rPr>
          <w:kern w:val="2"/>
          <w:sz w:val="21"/>
        </w:rPr>
      </w:pPr>
      <w:r>
        <w:fldChar w:fldCharType="begin"/>
      </w:r>
      <w:r>
        <w:instrText xml:space="preserve"> HYPERLINK \l "_Toc56092815" </w:instrText>
      </w:r>
      <w:r>
        <w:fldChar w:fldCharType="separate"/>
      </w:r>
      <w:r>
        <w:rPr>
          <w:rStyle w:val="34"/>
          <w:rFonts w:hint="eastAsia" w:ascii="黑体" w:hAnsi="黑体"/>
        </w:rPr>
        <w:t>第四条</w:t>
      </w:r>
      <w:r>
        <w:rPr>
          <w:rStyle w:val="34"/>
        </w:rPr>
        <w:t xml:space="preserve"> </w:t>
      </w:r>
      <w:r>
        <w:rPr>
          <w:rStyle w:val="34"/>
          <w:rFonts w:hint="eastAsia"/>
        </w:rPr>
        <w:t>建立健全多元化投融资机制</w:t>
      </w:r>
      <w:r>
        <w:tab/>
      </w:r>
      <w:r>
        <w:fldChar w:fldCharType="begin"/>
      </w:r>
      <w:r>
        <w:instrText xml:space="preserve"> PAGEREF _Toc56092815 \h </w:instrText>
      </w:r>
      <w:r>
        <w:fldChar w:fldCharType="separate"/>
      </w:r>
      <w:r>
        <w:t>8</w:t>
      </w:r>
      <w:r>
        <w:fldChar w:fldCharType="end"/>
      </w:r>
      <w:r>
        <w:fldChar w:fldCharType="end"/>
      </w:r>
    </w:p>
    <w:p>
      <w:pPr>
        <w:pStyle w:val="26"/>
        <w:tabs>
          <w:tab w:val="right" w:leader="dot" w:pos="9322"/>
        </w:tabs>
        <w:rPr>
          <w:kern w:val="2"/>
          <w:sz w:val="21"/>
        </w:rPr>
      </w:pPr>
      <w:r>
        <w:fldChar w:fldCharType="begin"/>
      </w:r>
      <w:r>
        <w:instrText xml:space="preserve"> HYPERLINK \l "_Toc56092816" </w:instrText>
      </w:r>
      <w:r>
        <w:fldChar w:fldCharType="separate"/>
      </w:r>
      <w:r>
        <w:rPr>
          <w:rStyle w:val="34"/>
          <w:rFonts w:hint="eastAsia" w:ascii="黑体" w:hAnsi="黑体"/>
        </w:rPr>
        <w:t>第五条</w:t>
      </w:r>
      <w:r>
        <w:rPr>
          <w:rStyle w:val="34"/>
        </w:rPr>
        <w:t xml:space="preserve"> </w:t>
      </w:r>
      <w:r>
        <w:rPr>
          <w:rStyle w:val="34"/>
          <w:rFonts w:hint="eastAsia"/>
        </w:rPr>
        <w:t>营造良好舆论氛围</w:t>
      </w:r>
      <w:r>
        <w:tab/>
      </w:r>
      <w:r>
        <w:fldChar w:fldCharType="begin"/>
      </w:r>
      <w:r>
        <w:instrText xml:space="preserve"> PAGEREF _Toc56092816 \h </w:instrText>
      </w:r>
      <w:r>
        <w:fldChar w:fldCharType="separate"/>
      </w:r>
      <w:r>
        <w:t>8</w:t>
      </w:r>
      <w:r>
        <w:fldChar w:fldCharType="end"/>
      </w:r>
      <w:r>
        <w:fldChar w:fldCharType="end"/>
      </w:r>
    </w:p>
    <w:p>
      <w:pPr>
        <w:pStyle w:val="26"/>
        <w:tabs>
          <w:tab w:val="right" w:leader="dot" w:pos="9322"/>
        </w:tabs>
        <w:rPr>
          <w:kern w:val="2"/>
          <w:sz w:val="21"/>
        </w:rPr>
      </w:pPr>
      <w:r>
        <w:fldChar w:fldCharType="begin"/>
      </w:r>
      <w:r>
        <w:instrText xml:space="preserve"> HYPERLINK \l "_Toc56092817" </w:instrText>
      </w:r>
      <w:r>
        <w:fldChar w:fldCharType="separate"/>
      </w:r>
      <w:r>
        <w:rPr>
          <w:rStyle w:val="34"/>
          <w:rFonts w:hint="eastAsia" w:ascii="黑体" w:hAnsi="黑体"/>
        </w:rPr>
        <w:t>第六条</w:t>
      </w:r>
      <w:r>
        <w:rPr>
          <w:rStyle w:val="34"/>
        </w:rPr>
        <w:t xml:space="preserve"> </w:t>
      </w:r>
      <w:r>
        <w:rPr>
          <w:rStyle w:val="34"/>
          <w:rFonts w:hint="eastAsia"/>
        </w:rPr>
        <w:t>加强通信安全体系建设</w:t>
      </w:r>
      <w:r>
        <w:tab/>
      </w:r>
      <w:r>
        <w:fldChar w:fldCharType="begin"/>
      </w:r>
      <w:r>
        <w:instrText xml:space="preserve"> PAGEREF _Toc56092817 \h </w:instrText>
      </w:r>
      <w:r>
        <w:fldChar w:fldCharType="separate"/>
      </w:r>
      <w:r>
        <w:t>9</w:t>
      </w:r>
      <w:r>
        <w:fldChar w:fldCharType="end"/>
      </w:r>
      <w:r>
        <w:fldChar w:fldCharType="end"/>
      </w:r>
    </w:p>
    <w:p>
      <w:pPr>
        <w:pStyle w:val="26"/>
        <w:tabs>
          <w:tab w:val="right" w:leader="dot" w:pos="9322"/>
        </w:tabs>
        <w:rPr>
          <w:kern w:val="2"/>
          <w:sz w:val="21"/>
        </w:rPr>
      </w:pPr>
      <w:r>
        <w:fldChar w:fldCharType="begin"/>
      </w:r>
      <w:r>
        <w:instrText xml:space="preserve"> HYPERLINK \l "_Toc56092818" </w:instrText>
      </w:r>
      <w:r>
        <w:fldChar w:fldCharType="separate"/>
      </w:r>
      <w:r>
        <w:rPr>
          <w:rStyle w:val="34"/>
          <w:rFonts w:hint="eastAsia" w:ascii="黑体" w:hAnsi="黑体"/>
        </w:rPr>
        <w:t>第七条</w:t>
      </w:r>
      <w:r>
        <w:rPr>
          <w:rStyle w:val="34"/>
        </w:rPr>
        <w:t xml:space="preserve"> </w:t>
      </w:r>
      <w:r>
        <w:rPr>
          <w:rStyle w:val="34"/>
          <w:rFonts w:hint="eastAsia"/>
        </w:rPr>
        <w:t>进行考核评估体系建设</w:t>
      </w:r>
      <w:r>
        <w:tab/>
      </w:r>
      <w:r>
        <w:fldChar w:fldCharType="begin"/>
      </w:r>
      <w:r>
        <w:instrText xml:space="preserve"> PAGEREF _Toc56092818 \h </w:instrText>
      </w:r>
      <w:r>
        <w:fldChar w:fldCharType="separate"/>
      </w:r>
      <w:r>
        <w:t>9</w:t>
      </w:r>
      <w:r>
        <w:fldChar w:fldCharType="end"/>
      </w:r>
      <w:r>
        <w:fldChar w:fldCharType="end"/>
      </w:r>
    </w:p>
    <w:p>
      <w:pPr>
        <w:widowControl w:val="0"/>
        <w:snapToGrid w:val="0"/>
        <w:spacing w:line="360" w:lineRule="auto"/>
        <w:ind w:firstLine="480" w:firstLineChars="200"/>
        <w:contextualSpacing/>
        <w:jc w:val="both"/>
        <w:rPr>
          <w:rFonts w:ascii="Times New Roman" w:hAnsi="Times New Roman" w:eastAsia="黑体" w:cs="Times New Roman"/>
          <w:kern w:val="2"/>
        </w:rPr>
      </w:pPr>
      <w:r>
        <w:rPr>
          <w:rFonts w:ascii="Times New Roman" w:hAnsi="Times New Roman" w:eastAsia="黑体" w:cs="Times New Roman"/>
          <w:kern w:val="2"/>
        </w:rPr>
        <w:fldChar w:fldCharType="end"/>
      </w:r>
      <w:r>
        <w:rPr>
          <w:rFonts w:ascii="Times New Roman" w:hAnsi="Times New Roman" w:eastAsia="黑体" w:cs="Times New Roman"/>
          <w:kern w:val="2"/>
        </w:rPr>
        <w:br w:type="page"/>
      </w:r>
    </w:p>
    <w:p>
      <w:pPr>
        <w:pStyle w:val="2"/>
        <w:numPr>
          <w:ilvl w:val="0"/>
          <w:numId w:val="27"/>
        </w:numPr>
      </w:pPr>
      <w:bookmarkStart w:id="124" w:name="_Toc56092739"/>
      <w:r>
        <w:rPr>
          <w:rFonts w:hint="eastAsia"/>
        </w:rPr>
        <w:t>前言</w:t>
      </w:r>
      <w:bookmarkEnd w:id="124"/>
    </w:p>
    <w:p>
      <w:pPr>
        <w:widowControl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区政府深入学习党的十九大和十九届二中、三中全会精神，以习近平新时代中国特色社会主义思想为指导，紧紧围绕习近平总书记对重庆提出的“两点”定位、“两地”“两高”目标、发挥“三个作用”和营造良好政治生态的重要指示要求，牢固树立新发展理念，创新工作机制，统筹推进梁平区通信基础设施的规划和建设，实现</w:t>
      </w:r>
      <w:r>
        <w:rPr>
          <w:rFonts w:ascii="Times New Roman" w:hAnsi="Times New Roman" w:cs="Times New Roman"/>
          <w:kern w:val="2"/>
        </w:rPr>
        <w:t>5G</w:t>
      </w:r>
      <w:r>
        <w:rPr>
          <w:rFonts w:hint="eastAsia" w:ascii="Times New Roman" w:hAnsi="Times New Roman" w:cs="Times New Roman"/>
          <w:kern w:val="2"/>
        </w:rPr>
        <w:t>规模部署和率先商用，推动梁平区数字经济与实体经济深度融合，助力网络强国，服务万物互联，为区域经济发展和人民生活改善打下基础。</w:t>
      </w:r>
    </w:p>
    <w:p>
      <w:pPr>
        <w:widowControl w:val="0"/>
        <w:spacing w:line="360" w:lineRule="auto"/>
        <w:ind w:firstLine="480" w:firstLineChars="200"/>
        <w:contextualSpacing/>
        <w:jc w:val="both"/>
        <w:rPr>
          <w:rFonts w:ascii="Times New Roman" w:hAnsi="Times New Roman" w:cs="Times New Roman"/>
          <w:color w:val="FF0000"/>
          <w:kern w:val="2"/>
          <w:u w:val="single"/>
        </w:rPr>
      </w:pPr>
      <w:r>
        <w:rPr>
          <w:rFonts w:hint="eastAsia" w:ascii="Times New Roman" w:hAnsi="Times New Roman" w:cs="Times New Roman"/>
          <w:kern w:val="2"/>
        </w:rPr>
        <w:t>随着梁平城区整体城市规划展开，重大项目落地，城市空间布局不断优化，以及数字经济和实体经济的融合，这些都对通信基础设施提出了更高的要求，通信基础设施本身的升级改造和优化提高也迫在眉睫。因此，针对全区重大发展建设，通信基础设施规划是必要的和迫切的。</w:t>
      </w:r>
    </w:p>
    <w:p>
      <w:pPr>
        <w:widowControl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通信基础设施规划是搭建城市规划与工程实施的桥梁，是落实新型城镇化发展目标，支撑通信基础设施建设的重要纽带，将为智慧城市的建设提供基础保障，为规划管理提供技术支持。</w:t>
      </w:r>
    </w:p>
    <w:p>
      <w:pPr>
        <w:widowControl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本次梁平区</w:t>
      </w:r>
      <w:r>
        <w:rPr>
          <w:rFonts w:ascii="Times New Roman" w:hAnsi="Times New Roman" w:cs="Times New Roman"/>
          <w:kern w:val="2"/>
        </w:rPr>
        <w:t>5G</w:t>
      </w:r>
      <w:r>
        <w:rPr>
          <w:rFonts w:hint="eastAsia" w:ascii="Times New Roman" w:hAnsi="Times New Roman" w:cs="Times New Roman"/>
          <w:kern w:val="2"/>
        </w:rPr>
        <w:t>通信基础设施及廊道规划紧扣《国务院关于印发“十三五”国家信息化规划的通知》以及重庆市政府发布的《重庆市人民政府办公厅关于推进</w:t>
      </w:r>
      <w:r>
        <w:rPr>
          <w:rFonts w:ascii="Times New Roman" w:hAnsi="Times New Roman" w:cs="Times New Roman"/>
          <w:kern w:val="2"/>
        </w:rPr>
        <w:t>5G</w:t>
      </w:r>
      <w:r>
        <w:rPr>
          <w:rFonts w:hint="eastAsia" w:ascii="Times New Roman" w:hAnsi="Times New Roman" w:cs="Times New Roman"/>
          <w:kern w:val="2"/>
        </w:rPr>
        <w:t>通信网建设发展的实施意见》两大纲领性文件，力争在规划期末全区的各项通信基础设施提供能力满足国家“宽带中国”战略的相关要求，基本建成高速、移动、安全、泛在的新一代信息基础设施。同时满足重庆市政府确立的</w:t>
      </w:r>
      <w:r>
        <w:rPr>
          <w:rFonts w:ascii="Times New Roman" w:hAnsi="Times New Roman" w:cs="Times New Roman"/>
          <w:kern w:val="2"/>
        </w:rPr>
        <w:t>2020</w:t>
      </w:r>
      <w:r>
        <w:rPr>
          <w:rFonts w:hint="eastAsia" w:ascii="Times New Roman" w:hAnsi="Times New Roman" w:cs="Times New Roman"/>
          <w:kern w:val="2"/>
        </w:rPr>
        <w:t>年，我市基于路灯杆、监控杆、标识杆等社会杆塔设施资源的“多杆合一”</w:t>
      </w:r>
      <w:r>
        <w:rPr>
          <w:rFonts w:ascii="Times New Roman" w:hAnsi="Times New Roman" w:cs="Times New Roman"/>
          <w:kern w:val="2"/>
        </w:rPr>
        <w:t>5G</w:t>
      </w:r>
      <w:r>
        <w:rPr>
          <w:rFonts w:hint="eastAsia" w:ascii="Times New Roman" w:hAnsi="Times New Roman" w:cs="Times New Roman"/>
          <w:kern w:val="2"/>
        </w:rPr>
        <w:t>宏基站站址达到</w:t>
      </w:r>
      <w:r>
        <w:rPr>
          <w:rFonts w:ascii="Times New Roman" w:hAnsi="Times New Roman" w:cs="Times New Roman"/>
          <w:kern w:val="2"/>
        </w:rPr>
        <w:t>1</w:t>
      </w:r>
      <w:r>
        <w:rPr>
          <w:rFonts w:hint="eastAsia" w:ascii="Times New Roman" w:hAnsi="Times New Roman" w:cs="Times New Roman"/>
          <w:kern w:val="2"/>
        </w:rPr>
        <w:t>万座，基于上述设施的</w:t>
      </w:r>
      <w:r>
        <w:rPr>
          <w:rFonts w:ascii="Times New Roman" w:hAnsi="Times New Roman" w:cs="Times New Roman"/>
          <w:kern w:val="2"/>
        </w:rPr>
        <w:t>5G</w:t>
      </w:r>
      <w:r>
        <w:rPr>
          <w:rFonts w:hint="eastAsia" w:ascii="Times New Roman" w:hAnsi="Times New Roman" w:cs="Times New Roman"/>
          <w:kern w:val="2"/>
        </w:rPr>
        <w:t>微</w:t>
      </w:r>
      <w:r>
        <w:rPr>
          <w:rFonts w:ascii="Times New Roman" w:hAnsi="Times New Roman" w:cs="Times New Roman"/>
          <w:kern w:val="2"/>
        </w:rPr>
        <w:t>/</w:t>
      </w:r>
      <w:r>
        <w:rPr>
          <w:rFonts w:hint="eastAsia" w:ascii="Times New Roman" w:hAnsi="Times New Roman" w:cs="Times New Roman"/>
          <w:kern w:val="2"/>
        </w:rPr>
        <w:t>皮基站站址达到</w:t>
      </w:r>
      <w:r>
        <w:rPr>
          <w:rFonts w:ascii="Times New Roman" w:hAnsi="Times New Roman" w:cs="Times New Roman"/>
          <w:kern w:val="2"/>
        </w:rPr>
        <w:t>5</w:t>
      </w:r>
      <w:r>
        <w:rPr>
          <w:rFonts w:hint="eastAsia" w:ascii="Times New Roman" w:hAnsi="Times New Roman" w:cs="Times New Roman"/>
          <w:kern w:val="2"/>
        </w:rPr>
        <w:t>万座，区县通信基础设施专项规划编制率达到</w:t>
      </w:r>
      <w:r>
        <w:rPr>
          <w:rFonts w:ascii="Times New Roman" w:hAnsi="Times New Roman" w:cs="Times New Roman"/>
          <w:kern w:val="2"/>
        </w:rPr>
        <w:t>100%</w:t>
      </w:r>
      <w:r>
        <w:rPr>
          <w:rFonts w:hint="eastAsia" w:ascii="Times New Roman" w:hAnsi="Times New Roman" w:cs="Times New Roman"/>
          <w:kern w:val="2"/>
        </w:rPr>
        <w:t>的工作目标。</w:t>
      </w:r>
    </w:p>
    <w:p>
      <w:pPr>
        <w:widowControl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为合理集约安排通信基础设施布局，加强通信基础设施布局的区域协调，并有效整合梁平区</w:t>
      </w:r>
      <w:r>
        <w:rPr>
          <w:rFonts w:ascii="Times New Roman" w:hAnsi="Times New Roman" w:cs="Times New Roman"/>
          <w:kern w:val="2"/>
        </w:rPr>
        <w:t>5G</w:t>
      </w:r>
      <w:r>
        <w:rPr>
          <w:rFonts w:hint="eastAsia" w:ascii="Times New Roman" w:hAnsi="Times New Roman" w:cs="Times New Roman"/>
          <w:kern w:val="2"/>
        </w:rPr>
        <w:t>通信基础设施空间资源，切实加强空间资源合理配置与统一建设，全面推进社会公共资源开放和</w:t>
      </w:r>
      <w:r>
        <w:rPr>
          <w:rFonts w:ascii="Times New Roman" w:hAnsi="Times New Roman" w:cs="Times New Roman"/>
          <w:kern w:val="2"/>
        </w:rPr>
        <w:t>5G</w:t>
      </w:r>
      <w:r>
        <w:rPr>
          <w:rFonts w:hint="eastAsia" w:ascii="Times New Roman" w:hAnsi="Times New Roman" w:cs="Times New Roman"/>
          <w:kern w:val="2"/>
        </w:rPr>
        <w:t>规模部署，发挥城乡空间资源的最大经济社会环境效益，加强农村通信基础设施建设，缩小城乡差距，特制定《梁平区</w:t>
      </w:r>
      <w:r>
        <w:rPr>
          <w:rFonts w:ascii="Times New Roman" w:hAnsi="Times New Roman" w:cs="Times New Roman"/>
          <w:kern w:val="2"/>
        </w:rPr>
        <w:t>5G</w:t>
      </w:r>
      <w:r>
        <w:rPr>
          <w:rFonts w:hint="eastAsia" w:ascii="Times New Roman" w:hAnsi="Times New Roman" w:cs="Times New Roman"/>
          <w:kern w:val="2"/>
        </w:rPr>
        <w:t>通信基础设施规划》，并纳入梁平区城乡总体规划。</w:t>
      </w:r>
      <w:r>
        <w:rPr>
          <w:rFonts w:ascii="Times New Roman" w:hAnsi="Times New Roman" w:cs="Times New Roman"/>
          <w:kern w:val="2"/>
        </w:rPr>
        <w:br w:type="page"/>
      </w:r>
    </w:p>
    <w:p>
      <w:pPr>
        <w:pStyle w:val="2"/>
      </w:pPr>
      <w:bookmarkStart w:id="125" w:name="_Toc56092740"/>
      <w:r>
        <w:rPr>
          <w:rFonts w:hint="eastAsia"/>
        </w:rPr>
        <w:t>总则</w:t>
      </w:r>
      <w:bookmarkEnd w:id="125"/>
    </w:p>
    <w:p>
      <w:pPr>
        <w:pStyle w:val="3"/>
        <w:numPr>
          <w:ilvl w:val="0"/>
          <w:numId w:val="28"/>
        </w:numPr>
      </w:pPr>
      <w:bookmarkStart w:id="126" w:name="_Toc56092741"/>
      <w:r>
        <w:rPr>
          <w:rFonts w:hint="eastAsia"/>
        </w:rPr>
        <w:t>规划范围与年限</w:t>
      </w:r>
      <w:bookmarkEnd w:id="126"/>
    </w:p>
    <w:p>
      <w:pPr>
        <w:pStyle w:val="5"/>
      </w:pPr>
      <w:bookmarkStart w:id="127" w:name="_Toc56092742"/>
      <w:r>
        <w:rPr>
          <w:rFonts w:hint="eastAsia"/>
        </w:rPr>
        <w:t>规划范围及内容</w:t>
      </w:r>
      <w:bookmarkEnd w:id="127"/>
    </w:p>
    <w:p>
      <w:pPr>
        <w:widowControl w:val="0"/>
        <w:snapToGrid w:val="0"/>
        <w:spacing w:line="360" w:lineRule="auto"/>
        <w:ind w:firstLine="480"/>
        <w:contextualSpacing/>
        <w:jc w:val="both"/>
        <w:rPr>
          <w:rFonts w:ascii="Times New Roman" w:hAnsi="Times New Roman" w:cs="Times New Roman"/>
          <w:kern w:val="2"/>
        </w:rPr>
      </w:pPr>
      <w:r>
        <w:rPr>
          <w:rFonts w:hint="eastAsia" w:ascii="Times New Roman" w:hAnsi="Times New Roman" w:cs="Times New Roman"/>
          <w:kern w:val="2"/>
        </w:rPr>
        <w:t>本规划依托于梁平区城乡总体规划、城区规划和国家通信业</w:t>
      </w:r>
      <w:r>
        <w:rPr>
          <w:rFonts w:ascii="Times New Roman" w:hAnsi="Times New Roman" w:cs="Times New Roman"/>
          <w:kern w:val="2"/>
        </w:rPr>
        <w:t>“</w:t>
      </w:r>
      <w:r>
        <w:rPr>
          <w:rFonts w:hint="eastAsia" w:ascii="Times New Roman" w:hAnsi="Times New Roman" w:cs="Times New Roman"/>
          <w:kern w:val="2"/>
        </w:rPr>
        <w:t>十三五</w:t>
      </w:r>
      <w:r>
        <w:rPr>
          <w:rFonts w:ascii="Times New Roman" w:hAnsi="Times New Roman" w:cs="Times New Roman"/>
          <w:kern w:val="2"/>
        </w:rPr>
        <w:t>”</w:t>
      </w:r>
      <w:r>
        <w:rPr>
          <w:rFonts w:hint="eastAsia" w:ascii="Times New Roman" w:hAnsi="Times New Roman" w:cs="Times New Roman"/>
          <w:kern w:val="2"/>
        </w:rPr>
        <w:t>发展规划，规划范围为梁平区行政辖区，其面积为</w:t>
      </w:r>
      <w:r>
        <w:rPr>
          <w:rFonts w:ascii="Times New Roman" w:hAnsi="Times New Roman" w:cs="Times New Roman"/>
          <w:kern w:val="2"/>
        </w:rPr>
        <w:t>1892.13</w:t>
      </w:r>
      <w:r>
        <w:rPr>
          <w:rFonts w:hint="eastAsia" w:ascii="Times New Roman" w:hAnsi="Times New Roman" w:cs="Times New Roman"/>
          <w:kern w:val="2"/>
        </w:rPr>
        <w:t>平方公里，简称全区。规划成果全面覆盖</w:t>
      </w:r>
      <w:bookmarkStart w:id="128" w:name="_Hlk24310461"/>
      <w:r>
        <w:rPr>
          <w:rFonts w:hint="eastAsia" w:ascii="Times New Roman" w:hAnsi="Times New Roman" w:cs="Times New Roman"/>
          <w:kern w:val="2"/>
        </w:rPr>
        <w:t>梁平梁山老城城区、梁平双桂新城区及梁平乡镇场镇，全区包括梁山街道、双桂街道、仁贤街道、合兴街道、金带街道等</w:t>
      </w:r>
      <w:r>
        <w:rPr>
          <w:rFonts w:ascii="Times New Roman" w:hAnsi="Times New Roman" w:cs="Times New Roman"/>
          <w:kern w:val="2"/>
        </w:rPr>
        <w:t>5</w:t>
      </w:r>
      <w:r>
        <w:rPr>
          <w:rFonts w:hint="eastAsia" w:ascii="Times New Roman" w:hAnsi="Times New Roman" w:cs="Times New Roman"/>
          <w:kern w:val="2"/>
        </w:rPr>
        <w:t>个街道，礼让镇、云龙镇、屏锦镇、袁驿镇、新盛镇、福禄镇、聚奎镇、明达镇、荫平镇、和林镇、回龙镇、碧山镇、虎城镇、七星镇、龙门镇、文化镇、石安镇、柏家镇、大观镇、竹山镇、蟠龙镇、安胜镇、星桥镇、曲水镇、复平镇、紫照镇等</w:t>
      </w:r>
      <w:r>
        <w:rPr>
          <w:rFonts w:ascii="Times New Roman" w:hAnsi="Times New Roman" w:cs="Times New Roman"/>
          <w:kern w:val="2"/>
        </w:rPr>
        <w:t>26</w:t>
      </w:r>
      <w:r>
        <w:rPr>
          <w:rFonts w:hint="eastAsia" w:ascii="Times New Roman" w:hAnsi="Times New Roman" w:cs="Times New Roman"/>
          <w:kern w:val="2"/>
        </w:rPr>
        <w:t>个镇，铁门乡、龙胜乡等</w:t>
      </w:r>
      <w:r>
        <w:rPr>
          <w:rFonts w:ascii="Times New Roman" w:hAnsi="Times New Roman" w:cs="Times New Roman"/>
          <w:kern w:val="2"/>
        </w:rPr>
        <w:t>2</w:t>
      </w:r>
      <w:r>
        <w:rPr>
          <w:rFonts w:hint="eastAsia" w:ascii="Times New Roman" w:hAnsi="Times New Roman" w:cs="Times New Roman"/>
          <w:kern w:val="2"/>
        </w:rPr>
        <w:t>个乡</w:t>
      </w:r>
      <w:bookmarkEnd w:id="128"/>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规划深度：本规划遵循统筹规划、合理布局、适当超前、优化配置、资源共享等原则，结合梁平铁塔、梁平移动、梁平电信、梁平联通和梁平广电在区域内的综合需求，完成规划区域内</w:t>
      </w:r>
      <w:r>
        <w:rPr>
          <w:rFonts w:ascii="Times New Roman" w:hAnsi="Times New Roman" w:cs="Times New Roman"/>
          <w:kern w:val="2"/>
        </w:rPr>
        <w:t>5G</w:t>
      </w:r>
      <w:r>
        <w:rPr>
          <w:rFonts w:hint="eastAsia" w:ascii="Times New Roman" w:hAnsi="Times New Roman" w:cs="Times New Roman"/>
          <w:kern w:val="2"/>
        </w:rPr>
        <w:t>通信基础设施建设</w:t>
      </w:r>
      <w:r>
        <w:rPr>
          <w:rFonts w:hint="eastAsia" w:ascii="Times New Roman" w:hAnsi="Times New Roman" w:cs="Times New Roman"/>
          <w:color w:val="000000"/>
          <w:kern w:val="2"/>
        </w:rPr>
        <w:t>布局</w:t>
      </w:r>
      <w:r>
        <w:rPr>
          <w:rFonts w:hint="eastAsia" w:ascii="Times New Roman" w:hAnsi="Times New Roman" w:cs="Times New Roman"/>
          <w:kern w:val="2"/>
        </w:rPr>
        <w:t>规划。</w:t>
      </w:r>
      <w:r>
        <w:rPr>
          <w:rFonts w:hint="eastAsia" w:ascii="Times New Roman" w:hAnsi="Times New Roman" w:cs="Times New Roman"/>
          <w:color w:val="000000"/>
          <w:kern w:val="2"/>
        </w:rPr>
        <w:t>本规划达到总规要求</w:t>
      </w:r>
      <w:r>
        <w:rPr>
          <w:rFonts w:hint="eastAsia" w:ascii="Times New Roman" w:hAnsi="Times New Roman" w:cs="Times New Roman"/>
          <w:kern w:val="2"/>
        </w:rPr>
        <w:t>。</w:t>
      </w:r>
    </w:p>
    <w:p>
      <w:pPr>
        <w:pStyle w:val="5"/>
      </w:pPr>
      <w:bookmarkStart w:id="129" w:name="_Toc56092743"/>
      <w:r>
        <w:rPr>
          <w:rFonts w:hint="eastAsia"/>
        </w:rPr>
        <w:t>规划年限</w:t>
      </w:r>
      <w:bookmarkEnd w:id="129"/>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本次规划年限取定为</w:t>
      </w:r>
      <w:r>
        <w:rPr>
          <w:rFonts w:ascii="Times New Roman" w:hAnsi="Times New Roman" w:cs="Times New Roman"/>
          <w:kern w:val="2"/>
        </w:rPr>
        <w:t>2020~2025</w:t>
      </w:r>
      <w:r>
        <w:rPr>
          <w:rFonts w:hint="eastAsia" w:ascii="Times New Roman" w:hAnsi="Times New Roman" w:cs="Times New Roman"/>
          <w:kern w:val="2"/>
        </w:rPr>
        <w:t>年。其中，一阶段满足</w:t>
      </w:r>
      <w:r>
        <w:rPr>
          <w:rFonts w:ascii="Times New Roman" w:hAnsi="Times New Roman" w:cs="Times New Roman"/>
          <w:kern w:val="2"/>
        </w:rPr>
        <w:t>2020-2022</w:t>
      </w:r>
      <w:r>
        <w:rPr>
          <w:rFonts w:hint="eastAsia" w:ascii="Times New Roman" w:hAnsi="Times New Roman" w:cs="Times New Roman"/>
          <w:kern w:val="2"/>
        </w:rPr>
        <w:t>年通信建设需求，二阶段满足</w:t>
      </w:r>
      <w:r>
        <w:rPr>
          <w:rFonts w:ascii="Times New Roman" w:hAnsi="Times New Roman" w:cs="Times New Roman"/>
          <w:kern w:val="2"/>
        </w:rPr>
        <w:t>2023~2025</w:t>
      </w:r>
      <w:r>
        <w:rPr>
          <w:rFonts w:hint="eastAsia" w:ascii="Times New Roman" w:hAnsi="Times New Roman" w:cs="Times New Roman"/>
          <w:kern w:val="2"/>
        </w:rPr>
        <w:t>年通信建设需求。远期展望至</w:t>
      </w:r>
      <w:r>
        <w:rPr>
          <w:rFonts w:ascii="Times New Roman" w:hAnsi="Times New Roman" w:cs="Times New Roman"/>
          <w:kern w:val="2"/>
        </w:rPr>
        <w:t>2035</w:t>
      </w:r>
      <w:r>
        <w:rPr>
          <w:rFonts w:hint="eastAsia" w:ascii="Times New Roman" w:hAnsi="Times New Roman" w:cs="Times New Roman"/>
          <w:kern w:val="2"/>
        </w:rPr>
        <w:t>年通信建设需求</w:t>
      </w:r>
    </w:p>
    <w:p>
      <w:pPr>
        <w:pStyle w:val="3"/>
      </w:pPr>
      <w:bookmarkStart w:id="130" w:name="_Toc56092744"/>
      <w:r>
        <w:rPr>
          <w:rFonts w:hint="eastAsia"/>
        </w:rPr>
        <w:t>规划对象及任务</w:t>
      </w:r>
      <w:bookmarkEnd w:id="130"/>
    </w:p>
    <w:p>
      <w:pPr>
        <w:pStyle w:val="5"/>
        <w:numPr>
          <w:ilvl w:val="0"/>
          <w:numId w:val="29"/>
        </w:numPr>
      </w:pPr>
      <w:bookmarkStart w:id="131" w:name="_Toc56092745"/>
      <w:r>
        <w:rPr>
          <w:rFonts w:hint="eastAsia"/>
        </w:rPr>
        <w:t>通信“基站”和通信“站址”的概念</w:t>
      </w:r>
      <w:bookmarkEnd w:id="131"/>
    </w:p>
    <w:p>
      <w:pPr>
        <w:widowControl w:val="0"/>
        <w:snapToGrid w:val="0"/>
        <w:spacing w:line="360" w:lineRule="auto"/>
        <w:ind w:firstLine="482" w:firstLineChars="200"/>
        <w:contextualSpacing/>
        <w:jc w:val="both"/>
        <w:rPr>
          <w:rFonts w:ascii="Times New Roman" w:hAnsi="Times New Roman" w:cs="Times New Roman"/>
          <w:kern w:val="2"/>
        </w:rPr>
      </w:pPr>
      <w:r>
        <w:rPr>
          <w:rFonts w:hint="eastAsia" w:ascii="Times New Roman" w:hAnsi="Times New Roman" w:cs="Times New Roman"/>
          <w:b/>
          <w:kern w:val="2"/>
        </w:rPr>
        <w:t>通信基站</w:t>
      </w:r>
      <w:r>
        <w:rPr>
          <w:rFonts w:hint="eastAsia" w:ascii="Times New Roman" w:hAnsi="Times New Roman" w:cs="Times New Roman"/>
          <w:kern w:val="2"/>
        </w:rPr>
        <w:t>：通信基站，即公用移动通信基站是无线电台站的一种形式，是指在有限的无线电覆盖区中，通过移动通信交换中心，与移动电话终端之间进行信息传递的无线电收发信电台。基站是移动通信中组成蜂窝小区的基本单元，完成移动通信网和移动通信用户之间的通信和管理功能。</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广义的通信基站，是基站子系统（</w:t>
      </w:r>
      <w:r>
        <w:rPr>
          <w:rFonts w:ascii="Times New Roman" w:hAnsi="Times New Roman" w:cs="Times New Roman"/>
          <w:kern w:val="2"/>
        </w:rPr>
        <w:t>BSS</w:t>
      </w:r>
      <w:r>
        <w:rPr>
          <w:rFonts w:hint="eastAsia" w:ascii="Times New Roman" w:hAnsi="Times New Roman" w:cs="Times New Roman"/>
          <w:kern w:val="2"/>
        </w:rPr>
        <w:t>，</w:t>
      </w:r>
      <w:r>
        <w:rPr>
          <w:rFonts w:ascii="Times New Roman" w:hAnsi="Times New Roman" w:cs="Times New Roman"/>
          <w:kern w:val="2"/>
        </w:rPr>
        <w:t>BaseStationSubsystem</w:t>
      </w:r>
      <w:r>
        <w:rPr>
          <w:rFonts w:hint="eastAsia" w:ascii="Times New Roman" w:hAnsi="Times New Roman" w:cs="Times New Roman"/>
          <w:kern w:val="2"/>
        </w:rPr>
        <w:t>）的简称。以</w:t>
      </w:r>
      <w:r>
        <w:rPr>
          <w:rFonts w:ascii="Times New Roman" w:hAnsi="Times New Roman" w:cs="Times New Roman"/>
          <w:kern w:val="2"/>
        </w:rPr>
        <w:t xml:space="preserve"> GSM </w:t>
      </w:r>
      <w:r>
        <w:rPr>
          <w:rFonts w:hint="eastAsia" w:ascii="Times New Roman" w:hAnsi="Times New Roman" w:cs="Times New Roman"/>
          <w:kern w:val="2"/>
        </w:rPr>
        <w:t>网络为例，包括基站收发信机（</w:t>
      </w:r>
      <w:r>
        <w:rPr>
          <w:rFonts w:ascii="Times New Roman" w:hAnsi="Times New Roman" w:cs="Times New Roman"/>
          <w:kern w:val="2"/>
        </w:rPr>
        <w:t>BTS</w:t>
      </w:r>
      <w:r>
        <w:rPr>
          <w:rFonts w:hint="eastAsia" w:ascii="Times New Roman" w:hAnsi="Times New Roman" w:cs="Times New Roman"/>
          <w:kern w:val="2"/>
        </w:rPr>
        <w:t>）和基站控制器（</w:t>
      </w:r>
      <w:r>
        <w:rPr>
          <w:rFonts w:ascii="Times New Roman" w:hAnsi="Times New Roman" w:cs="Times New Roman"/>
          <w:kern w:val="2"/>
        </w:rPr>
        <w:t>BSC</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狭义的通信基站，即公用移动通信基站是无线电台站的一种形式，是指在一定的无线电覆盖区中，通过移动通信交换中心，与移动电话终端之间进行信息传递的无线电收发信电台。</w:t>
      </w:r>
    </w:p>
    <w:p>
      <w:pPr>
        <w:widowControl w:val="0"/>
        <w:snapToGrid w:val="0"/>
        <w:spacing w:line="360" w:lineRule="auto"/>
        <w:ind w:firstLine="482" w:firstLineChars="200"/>
        <w:contextualSpacing/>
        <w:jc w:val="both"/>
        <w:rPr>
          <w:rFonts w:ascii="Times New Roman" w:hAnsi="Times New Roman" w:cs="Times New Roman"/>
          <w:kern w:val="2"/>
        </w:rPr>
      </w:pPr>
      <w:r>
        <w:rPr>
          <w:rFonts w:hint="eastAsia" w:ascii="Times New Roman" w:hAnsi="Times New Roman" w:cs="Times New Roman"/>
          <w:b/>
          <w:kern w:val="2"/>
        </w:rPr>
        <w:t>通信站址</w:t>
      </w:r>
      <w:r>
        <w:rPr>
          <w:rFonts w:hint="eastAsia" w:ascii="Times New Roman" w:hAnsi="Times New Roman" w:cs="Times New Roman"/>
          <w:kern w:val="2"/>
        </w:rPr>
        <w:t>：通信基站建设的位置，指同一个通信站址中有一个或多个通信基站（如：</w:t>
      </w:r>
      <w:r>
        <w:rPr>
          <w:rFonts w:ascii="Times New Roman" w:hAnsi="Times New Roman" w:cs="Times New Roman"/>
          <w:kern w:val="2"/>
        </w:rPr>
        <w:t>2G/3G/4G/5G</w:t>
      </w:r>
      <w:r>
        <w:rPr>
          <w:rFonts w:hint="eastAsia"/>
          <w:kern w:val="2"/>
        </w:rPr>
        <w:t>）一般统称为通信站址</w:t>
      </w:r>
      <w:r>
        <w:rPr>
          <w:rFonts w:hint="eastAsia" w:ascii="Times New Roman" w:hAnsi="Times New Roman" w:cs="Times New Roman"/>
          <w:kern w:val="2"/>
        </w:rPr>
        <w:t>。</w:t>
      </w:r>
    </w:p>
    <w:p>
      <w:pPr>
        <w:pStyle w:val="5"/>
      </w:pPr>
      <w:bookmarkStart w:id="132" w:name="_Toc56092746"/>
      <w:r>
        <w:rPr>
          <w:rFonts w:hint="eastAsia"/>
        </w:rPr>
        <w:t>规划对象</w:t>
      </w:r>
      <w:bookmarkEnd w:id="132"/>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本规划涉及</w:t>
      </w:r>
      <w:r>
        <w:rPr>
          <w:rFonts w:ascii="Times New Roman" w:hAnsi="Times New Roman" w:cs="Times New Roman"/>
          <w:kern w:val="2"/>
        </w:rPr>
        <w:t>5G</w:t>
      </w:r>
      <w:r>
        <w:rPr>
          <w:rFonts w:hint="eastAsia" w:ascii="Times New Roman" w:hAnsi="Times New Roman" w:cs="Times New Roman"/>
          <w:kern w:val="2"/>
        </w:rPr>
        <w:t>通信站址和通信综合接入机房，定义如下：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w:t>
      </w:r>
      <w:r>
        <w:rPr>
          <w:rFonts w:ascii="Times New Roman" w:hAnsi="Times New Roman" w:cs="Times New Roman"/>
          <w:kern w:val="2"/>
        </w:rPr>
        <w:tab/>
      </w:r>
      <w:r>
        <w:rPr>
          <w:rFonts w:hint="eastAsia" w:ascii="Times New Roman" w:hAnsi="Times New Roman" w:cs="Times New Roman"/>
          <w:kern w:val="2"/>
        </w:rPr>
        <w:t>室外宏基站</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指移动通信系统中能同时对室外区域和室内区域进行广度、深度覆盖的移动通信基站，通常建于室外，具体建设方式上可以分为依托铁塔建设的独立基站、利用建筑物建设的附建基站两类。</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w:t>
      </w:r>
      <w:r>
        <w:rPr>
          <w:rFonts w:ascii="Times New Roman" w:hAnsi="Times New Roman" w:cs="Times New Roman"/>
          <w:kern w:val="2"/>
        </w:rPr>
        <w:tab/>
      </w:r>
      <w:r>
        <w:rPr>
          <w:rFonts w:hint="eastAsia" w:ascii="Times New Roman" w:hAnsi="Times New Roman" w:cs="Times New Roman"/>
          <w:kern w:val="2"/>
        </w:rPr>
        <w:t>室外微基站</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指移动通信系统中能同时对室外区域和室内区域进行深度覆盖和热点补忙的移动通信微基站，通常建于室外，具体建设方式上可以分为依托铁塔、市政资源的路灯杆、监控杆、广告牌等建设的独立基站、利用建筑物建设的附建基站两类。</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w:t>
      </w:r>
      <w:r>
        <w:rPr>
          <w:rFonts w:ascii="Times New Roman" w:hAnsi="Times New Roman" w:cs="Times New Roman"/>
          <w:kern w:val="2"/>
        </w:rPr>
        <w:tab/>
      </w:r>
      <w:r>
        <w:rPr>
          <w:rFonts w:hint="eastAsia" w:ascii="Times New Roman" w:hAnsi="Times New Roman" w:cs="Times New Roman"/>
          <w:kern w:val="2"/>
        </w:rPr>
        <w:t>室内分布系统</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指利用室内天线将基站信号均匀分布在室内每个角落，满足室内用户移动通信需求的通信基站。</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w:t>
      </w:r>
      <w:r>
        <w:rPr>
          <w:rFonts w:hint="eastAsia" w:ascii="Times New Roman" w:hAnsi="Times New Roman" w:cs="Times New Roman"/>
          <w:kern w:val="2"/>
        </w:rPr>
        <w:t>）综合接入机房</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指布放</w:t>
      </w:r>
      <w:r>
        <w:rPr>
          <w:rFonts w:ascii="Times New Roman" w:hAnsi="Times New Roman" w:cs="Times New Roman"/>
          <w:kern w:val="2"/>
        </w:rPr>
        <w:t>5G</w:t>
      </w:r>
      <w:r>
        <w:rPr>
          <w:rFonts w:hint="eastAsia" w:ascii="Times New Roman" w:hAnsi="Times New Roman" w:cs="Times New Roman"/>
          <w:kern w:val="2"/>
        </w:rPr>
        <w:t>通信基站设备机房，不涉及核心机房及汇聚机房。</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注：如无特殊说明，本规划中的</w:t>
      </w:r>
      <w:r>
        <w:rPr>
          <w:rFonts w:ascii="Times New Roman" w:hAnsi="Times New Roman" w:cs="Times New Roman"/>
          <w:kern w:val="2"/>
        </w:rPr>
        <w:t>5G</w:t>
      </w:r>
      <w:r>
        <w:rPr>
          <w:rFonts w:hint="eastAsia" w:ascii="Times New Roman" w:hAnsi="Times New Roman" w:cs="Times New Roman"/>
          <w:kern w:val="2"/>
        </w:rPr>
        <w:t>通信基站专指室外站址。</w:t>
      </w:r>
    </w:p>
    <w:p>
      <w:pPr>
        <w:pStyle w:val="5"/>
      </w:pPr>
      <w:bookmarkStart w:id="133" w:name="_Toc56092747"/>
      <w:r>
        <w:rPr>
          <w:rFonts w:hint="eastAsia"/>
        </w:rPr>
        <w:t>规划任务</w:t>
      </w:r>
      <w:bookmarkEnd w:id="133"/>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市域层面，明确</w:t>
      </w:r>
      <w:r>
        <w:rPr>
          <w:rFonts w:ascii="Times New Roman" w:hAnsi="Times New Roman" w:cs="Times New Roman"/>
          <w:kern w:val="2"/>
        </w:rPr>
        <w:t>5G</w:t>
      </w:r>
      <w:r>
        <w:rPr>
          <w:rFonts w:hint="eastAsia" w:ascii="Times New Roman" w:hAnsi="Times New Roman" w:cs="Times New Roman"/>
          <w:kern w:val="2"/>
        </w:rPr>
        <w:t>通信基础设施的发展目标，制定</w:t>
      </w:r>
      <w:r>
        <w:rPr>
          <w:rFonts w:ascii="Times New Roman" w:hAnsi="Times New Roman" w:cs="Times New Roman"/>
          <w:kern w:val="2"/>
        </w:rPr>
        <w:t>5G</w:t>
      </w:r>
      <w:r>
        <w:rPr>
          <w:rFonts w:hint="eastAsia" w:ascii="Times New Roman" w:hAnsi="Times New Roman" w:cs="Times New Roman"/>
          <w:kern w:val="2"/>
        </w:rPr>
        <w:t>通信站址的布局原则，确定</w:t>
      </w:r>
      <w:r>
        <w:rPr>
          <w:rFonts w:ascii="Times New Roman" w:hAnsi="Times New Roman" w:cs="Times New Roman"/>
          <w:kern w:val="2"/>
        </w:rPr>
        <w:t>5G</w:t>
      </w:r>
      <w:r>
        <w:rPr>
          <w:rFonts w:hint="eastAsia" w:ascii="Times New Roman" w:hAnsi="Times New Roman" w:cs="Times New Roman"/>
          <w:kern w:val="2"/>
        </w:rPr>
        <w:t>通信基站站址的设置标准等，对重要场景（高速公路、铁路等）提出管控要求。</w:t>
      </w:r>
    </w:p>
    <w:p>
      <w:pPr>
        <w:pStyle w:val="3"/>
      </w:pPr>
      <w:bookmarkStart w:id="134" w:name="_Toc56092748"/>
      <w:r>
        <w:rPr>
          <w:rFonts w:hint="eastAsia"/>
        </w:rPr>
        <w:t>规划依据</w:t>
      </w:r>
      <w:bookmarkEnd w:id="134"/>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w:t>
      </w:r>
      <w:r>
        <w:rPr>
          <w:rFonts w:hint="eastAsia" w:ascii="Times New Roman" w:hAnsi="Times New Roman" w:cs="Times New Roman"/>
          <w:kern w:val="2"/>
        </w:rPr>
        <w:t>、《中华人民共和国城乡规划法》（</w:t>
      </w:r>
      <w:r>
        <w:rPr>
          <w:rFonts w:ascii="Times New Roman" w:hAnsi="Times New Roman" w:cs="Times New Roman"/>
          <w:kern w:val="2"/>
        </w:rPr>
        <w:t>2015</w:t>
      </w:r>
      <w:r>
        <w:rPr>
          <w:rFonts w:hint="eastAsia" w:ascii="Times New Roman" w:hAnsi="Times New Roman" w:cs="Times New Roman"/>
          <w:kern w:val="2"/>
        </w:rPr>
        <w:t>年）；</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w:t>
      </w:r>
      <w:r>
        <w:rPr>
          <w:rFonts w:hint="eastAsia" w:ascii="Times New Roman" w:hAnsi="Times New Roman" w:cs="Times New Roman"/>
          <w:kern w:val="2"/>
        </w:rPr>
        <w:t>、《城市规划编制办法实施细则》（</w:t>
      </w:r>
      <w:r>
        <w:rPr>
          <w:rFonts w:ascii="Times New Roman" w:hAnsi="Times New Roman" w:cs="Times New Roman"/>
          <w:kern w:val="2"/>
        </w:rPr>
        <w:t>2006</w:t>
      </w:r>
      <w:r>
        <w:rPr>
          <w:rFonts w:hint="eastAsia" w:ascii="Times New Roman" w:hAnsi="Times New Roman" w:cs="Times New Roman"/>
          <w:kern w:val="2"/>
        </w:rPr>
        <w:t>年）；</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w:t>
      </w:r>
      <w:r>
        <w:rPr>
          <w:rFonts w:hint="eastAsia" w:ascii="Times New Roman" w:hAnsi="Times New Roman" w:cs="Times New Roman"/>
          <w:kern w:val="2"/>
        </w:rPr>
        <w:t>、《重庆市城乡规划条例》（</w:t>
      </w:r>
      <w:r>
        <w:rPr>
          <w:rFonts w:ascii="Times New Roman" w:hAnsi="Times New Roman" w:cs="Times New Roman"/>
          <w:kern w:val="2"/>
        </w:rPr>
        <w:t>2017</w:t>
      </w:r>
      <w:r>
        <w:rPr>
          <w:rFonts w:hint="eastAsia" w:ascii="Times New Roman" w:hAnsi="Times New Roman" w:cs="Times New Roman"/>
          <w:kern w:val="2"/>
        </w:rPr>
        <w:t>年）；</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4</w:t>
      </w:r>
      <w:r>
        <w:rPr>
          <w:rFonts w:hint="eastAsia" w:ascii="Times New Roman" w:hAnsi="Times New Roman" w:cs="Times New Roman"/>
          <w:kern w:val="2"/>
        </w:rPr>
        <w:t>、《重庆市城市规划管理技术规定》（渝府令</w:t>
      </w:r>
      <w:r>
        <w:rPr>
          <w:rFonts w:ascii="Times New Roman" w:hAnsi="Times New Roman" w:cs="Times New Roman"/>
          <w:kern w:val="2"/>
        </w:rPr>
        <w:t>2016</w:t>
      </w:r>
      <w:r>
        <w:rPr>
          <w:rFonts w:hint="eastAsia" w:ascii="Times New Roman" w:hAnsi="Times New Roman" w:cs="Times New Roman"/>
          <w:kern w:val="2"/>
        </w:rPr>
        <w:t>第</w:t>
      </w:r>
      <w:r>
        <w:rPr>
          <w:rFonts w:ascii="Times New Roman" w:hAnsi="Times New Roman" w:cs="Times New Roman"/>
          <w:kern w:val="2"/>
        </w:rPr>
        <w:t xml:space="preserve"> 259 </w:t>
      </w:r>
      <w:r>
        <w:rPr>
          <w:rFonts w:hint="eastAsia" w:ascii="Times New Roman" w:hAnsi="Times New Roman" w:cs="Times New Roman"/>
          <w:kern w:val="2"/>
        </w:rPr>
        <w:t>号）；</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w:t>
      </w:r>
      <w:r>
        <w:rPr>
          <w:rFonts w:hint="eastAsia" w:ascii="Times New Roman" w:hAnsi="Times New Roman" w:cs="Times New Roman"/>
          <w:kern w:val="2"/>
        </w:rPr>
        <w:t>、《重庆市人民政府办公厅关于推进</w:t>
      </w:r>
      <w:r>
        <w:rPr>
          <w:rFonts w:ascii="Times New Roman" w:hAnsi="Times New Roman" w:cs="Times New Roman"/>
          <w:kern w:val="2"/>
        </w:rPr>
        <w:t>5G</w:t>
      </w:r>
      <w:r>
        <w:rPr>
          <w:rFonts w:hint="eastAsia" w:ascii="Times New Roman" w:hAnsi="Times New Roman" w:cs="Times New Roman"/>
          <w:kern w:val="2"/>
        </w:rPr>
        <w:t>通信网建设发展的实施意见》</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6</w:t>
      </w:r>
      <w:r>
        <w:rPr>
          <w:rFonts w:hint="eastAsia" w:ascii="Times New Roman" w:hAnsi="Times New Roman" w:cs="Times New Roman"/>
          <w:kern w:val="2"/>
        </w:rPr>
        <w:t>、《重庆市人民政府办公厅关于印发重庆市法定城乡规划全覆盖工作计划的</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通知》（渝府办发</w:t>
      </w:r>
      <w:r>
        <w:rPr>
          <w:rFonts w:ascii="Times New Roman" w:hAnsi="Times New Roman" w:cs="Times New Roman"/>
          <w:kern w:val="2"/>
        </w:rPr>
        <w:t xml:space="preserve"> [2014] 70</w:t>
      </w:r>
      <w:r>
        <w:rPr>
          <w:rFonts w:hint="eastAsia" w:ascii="Times New Roman" w:hAnsi="Times New Roman" w:cs="Times New Roman"/>
          <w:kern w:val="2"/>
        </w:rPr>
        <w:t>号）；</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7</w:t>
      </w:r>
      <w:r>
        <w:rPr>
          <w:rFonts w:hint="eastAsia" w:ascii="Times New Roman" w:hAnsi="Times New Roman" w:cs="Times New Roman"/>
          <w:kern w:val="2"/>
        </w:rPr>
        <w:t>、《国务院关于加强城市基础设施建设的意见》（国发</w:t>
      </w:r>
      <w:r>
        <w:rPr>
          <w:rFonts w:ascii="Times New Roman" w:hAnsi="Times New Roman" w:cs="Times New Roman"/>
          <w:kern w:val="2"/>
        </w:rPr>
        <w:t xml:space="preserve"> [2013] 36</w:t>
      </w:r>
      <w:r>
        <w:rPr>
          <w:rFonts w:hint="eastAsia" w:ascii="Times New Roman" w:hAnsi="Times New Roman" w:cs="Times New Roman"/>
          <w:kern w:val="2"/>
        </w:rPr>
        <w:t>号）；</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8</w:t>
      </w:r>
      <w:r>
        <w:rPr>
          <w:rFonts w:hint="eastAsia" w:ascii="Times New Roman" w:hAnsi="Times New Roman" w:cs="Times New Roman"/>
          <w:kern w:val="2"/>
        </w:rPr>
        <w:t>、《国家新型城镇化规划（</w:t>
      </w:r>
      <w:r>
        <w:rPr>
          <w:rFonts w:ascii="Times New Roman" w:hAnsi="Times New Roman" w:cs="Times New Roman"/>
          <w:kern w:val="2"/>
        </w:rPr>
        <w:t>2014—2020</w:t>
      </w:r>
      <w:r>
        <w:rPr>
          <w:rFonts w:hint="eastAsia" w:ascii="Times New Roman" w:hAnsi="Times New Roman" w:cs="Times New Roman"/>
          <w:kern w:val="2"/>
        </w:rPr>
        <w:t>年）》；</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9</w:t>
      </w:r>
      <w:r>
        <w:rPr>
          <w:rFonts w:hint="eastAsia" w:ascii="Times New Roman" w:hAnsi="Times New Roman" w:cs="Times New Roman"/>
          <w:kern w:val="2"/>
        </w:rPr>
        <w:t>、《关于推进电信基础设施共建共享的紧急通知》（工信部联通</w:t>
      </w:r>
      <w:r>
        <w:rPr>
          <w:rFonts w:ascii="Times New Roman" w:hAnsi="Times New Roman" w:cs="Times New Roman"/>
          <w:kern w:val="2"/>
        </w:rPr>
        <w:t xml:space="preserve"> [2008] 235</w:t>
      </w:r>
      <w:r>
        <w:rPr>
          <w:rFonts w:hint="eastAsia" w:ascii="Times New Roman" w:hAnsi="Times New Roman" w:cs="Times New Roman"/>
          <w:kern w:val="2"/>
        </w:rPr>
        <w:t>号）；</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10</w:t>
      </w:r>
      <w:r>
        <w:rPr>
          <w:rFonts w:hint="eastAsia" w:ascii="Times New Roman" w:hAnsi="Times New Roman" w:cs="Times New Roman"/>
          <w:kern w:val="2"/>
        </w:rPr>
        <w:t>、《国务院国有资产监督管理委员会关于</w:t>
      </w:r>
      <w:r>
        <w:rPr>
          <w:rFonts w:ascii="Times New Roman" w:hAnsi="Times New Roman" w:cs="Times New Roman"/>
          <w:kern w:val="2"/>
        </w:rPr>
        <w:t>2015</w:t>
      </w:r>
      <w:r>
        <w:rPr>
          <w:rFonts w:hint="eastAsia" w:ascii="Times New Roman" w:hAnsi="Times New Roman" w:cs="Times New Roman"/>
          <w:kern w:val="2"/>
        </w:rPr>
        <w:t>年推进电信基础设施共建共享的实施意见》（工信部联通</w:t>
      </w:r>
      <w:r>
        <w:rPr>
          <w:rFonts w:ascii="Times New Roman" w:hAnsi="Times New Roman" w:cs="Times New Roman"/>
          <w:kern w:val="2"/>
        </w:rPr>
        <w:t>[2014]586</w:t>
      </w:r>
      <w:r>
        <w:rPr>
          <w:rFonts w:hint="eastAsia" w:ascii="Times New Roman" w:hAnsi="Times New Roman" w:cs="Times New Roman"/>
          <w:kern w:val="2"/>
        </w:rPr>
        <w:t>号）；</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11</w:t>
      </w:r>
      <w:r>
        <w:rPr>
          <w:rFonts w:hint="eastAsia" w:ascii="Times New Roman" w:hAnsi="Times New Roman" w:cs="Times New Roman"/>
          <w:kern w:val="2"/>
        </w:rPr>
        <w:t>、《关于加强城市通信基础设施规划的通知》（建规</w:t>
      </w:r>
      <w:r>
        <w:rPr>
          <w:rFonts w:ascii="Times New Roman" w:hAnsi="Times New Roman" w:cs="Times New Roman"/>
          <w:kern w:val="2"/>
        </w:rPr>
        <w:t>[2015]132</w:t>
      </w:r>
      <w:r>
        <w:rPr>
          <w:rFonts w:hint="eastAsia" w:ascii="Times New Roman" w:hAnsi="Times New Roman" w:cs="Times New Roman"/>
          <w:kern w:val="2"/>
        </w:rPr>
        <w:t>号）；</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12</w:t>
      </w:r>
      <w:r>
        <w:rPr>
          <w:rFonts w:hint="eastAsia" w:ascii="Times New Roman" w:hAnsi="Times New Roman" w:cs="Times New Roman"/>
          <w:kern w:val="2"/>
        </w:rPr>
        <w:t>、《重庆市电信设施建设与保护办法》（重庆市人民政府令第</w:t>
      </w:r>
      <w:r>
        <w:rPr>
          <w:rFonts w:ascii="Times New Roman" w:hAnsi="Times New Roman" w:cs="Times New Roman"/>
          <w:kern w:val="2"/>
        </w:rPr>
        <w:t>302</w:t>
      </w:r>
      <w:r>
        <w:rPr>
          <w:rFonts w:hint="eastAsia" w:ascii="Times New Roman" w:hAnsi="Times New Roman" w:cs="Times New Roman"/>
          <w:kern w:val="2"/>
        </w:rPr>
        <w:t>号）；</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13</w:t>
      </w:r>
      <w:r>
        <w:rPr>
          <w:rFonts w:hint="eastAsia" w:ascii="Times New Roman" w:hAnsi="Times New Roman" w:cs="Times New Roman"/>
          <w:kern w:val="2"/>
        </w:rPr>
        <w:t>、《重庆市电信通信工程规划导则（试行）》；</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14</w:t>
      </w:r>
      <w:r>
        <w:rPr>
          <w:rFonts w:hint="eastAsia" w:ascii="Times New Roman" w:hAnsi="Times New Roman" w:cs="Times New Roman"/>
          <w:kern w:val="2"/>
        </w:rPr>
        <w:t>、《重庆市教育委员会关于进一步加快推进高校</w:t>
      </w:r>
      <w:r>
        <w:rPr>
          <w:rFonts w:ascii="Times New Roman" w:hAnsi="Times New Roman" w:cs="Times New Roman"/>
          <w:kern w:val="2"/>
        </w:rPr>
        <w:t>5G</w:t>
      </w:r>
      <w:r>
        <w:rPr>
          <w:rFonts w:hint="eastAsia" w:ascii="Times New Roman" w:hAnsi="Times New Roman" w:cs="Times New Roman"/>
          <w:kern w:val="2"/>
        </w:rPr>
        <w:t>网络建设的通知》（渝教科发〔</w:t>
      </w:r>
      <w:r>
        <w:rPr>
          <w:rFonts w:ascii="Times New Roman" w:hAnsi="Times New Roman" w:cs="Times New Roman"/>
          <w:kern w:val="2"/>
        </w:rPr>
        <w:t>2020</w:t>
      </w:r>
      <w:r>
        <w:rPr>
          <w:rFonts w:hint="eastAsia" w:ascii="Times New Roman" w:hAnsi="Times New Roman" w:cs="Times New Roman"/>
          <w:kern w:val="2"/>
        </w:rPr>
        <w:t>〕</w:t>
      </w:r>
      <w:r>
        <w:rPr>
          <w:rFonts w:ascii="Times New Roman" w:hAnsi="Times New Roman" w:cs="Times New Roman"/>
          <w:kern w:val="2"/>
        </w:rPr>
        <w:t>5</w:t>
      </w:r>
      <w:r>
        <w:rPr>
          <w:rFonts w:hint="eastAsia" w:ascii="Times New Roman" w:hAnsi="Times New Roman" w:cs="Times New Roman"/>
          <w:kern w:val="2"/>
        </w:rPr>
        <w:t>号文）</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15</w:t>
      </w:r>
      <w:r>
        <w:rPr>
          <w:rFonts w:hint="eastAsia" w:ascii="Times New Roman" w:hAnsi="Times New Roman" w:cs="Times New Roman"/>
          <w:kern w:val="2"/>
        </w:rPr>
        <w:t>、《关于做好重庆市</w:t>
      </w:r>
      <w:r>
        <w:rPr>
          <w:rFonts w:ascii="Times New Roman" w:hAnsi="Times New Roman" w:cs="Times New Roman"/>
          <w:kern w:val="2"/>
        </w:rPr>
        <w:t>5G</w:t>
      </w:r>
      <w:r>
        <w:rPr>
          <w:rFonts w:hint="eastAsia" w:ascii="Times New Roman" w:hAnsi="Times New Roman" w:cs="Times New Roman"/>
          <w:kern w:val="2"/>
        </w:rPr>
        <w:t>通信基础设施建设电力协作相关工作的通知》（渝通信联〔</w:t>
      </w:r>
      <w:r>
        <w:rPr>
          <w:rFonts w:ascii="Times New Roman" w:hAnsi="Times New Roman" w:cs="Times New Roman"/>
          <w:kern w:val="2"/>
        </w:rPr>
        <w:t>2019</w:t>
      </w:r>
      <w:r>
        <w:rPr>
          <w:rFonts w:hint="eastAsia" w:ascii="Times New Roman" w:hAnsi="Times New Roman" w:cs="Times New Roman"/>
          <w:kern w:val="2"/>
        </w:rPr>
        <w:t>〕</w:t>
      </w:r>
      <w:r>
        <w:rPr>
          <w:rFonts w:ascii="Times New Roman" w:hAnsi="Times New Roman" w:cs="Times New Roman"/>
          <w:kern w:val="2"/>
        </w:rPr>
        <w:t>9</w:t>
      </w:r>
      <w:r>
        <w:rPr>
          <w:rFonts w:hint="eastAsia" w:ascii="Times New Roman" w:hAnsi="Times New Roman" w:cs="Times New Roman"/>
          <w:kern w:val="2"/>
        </w:rPr>
        <w:t>号文）</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16</w:t>
      </w:r>
      <w:r>
        <w:rPr>
          <w:rFonts w:hint="eastAsia" w:ascii="Times New Roman" w:hAnsi="Times New Roman" w:cs="Times New Roman"/>
          <w:kern w:val="2"/>
        </w:rPr>
        <w:t>、《重庆市加快</w:t>
      </w:r>
      <w:r>
        <w:rPr>
          <w:rFonts w:ascii="Times New Roman" w:hAnsi="Times New Roman" w:cs="Times New Roman"/>
          <w:kern w:val="2"/>
        </w:rPr>
        <w:t>5G</w:t>
      </w:r>
      <w:r>
        <w:rPr>
          <w:rFonts w:hint="eastAsia" w:ascii="Times New Roman" w:hAnsi="Times New Roman" w:cs="Times New Roman"/>
          <w:kern w:val="2"/>
        </w:rPr>
        <w:t>发展行动计划（</w:t>
      </w:r>
      <w:r>
        <w:rPr>
          <w:rFonts w:ascii="Times New Roman" w:hAnsi="Times New Roman" w:cs="Times New Roman"/>
          <w:kern w:val="2"/>
        </w:rPr>
        <w:t>2019-2022</w:t>
      </w:r>
      <w:r>
        <w:rPr>
          <w:rFonts w:hint="eastAsia" w:ascii="Times New Roman" w:hAnsi="Times New Roman" w:cs="Times New Roman"/>
          <w:kern w:val="2"/>
        </w:rPr>
        <w:t>年</w:t>
      </w:r>
      <w:r>
        <w:rPr>
          <w:rFonts w:ascii="Times New Roman" w:hAnsi="Times New Roman" w:cs="Times New Roman"/>
          <w:kern w:val="2"/>
        </w:rPr>
        <w:t>)</w:t>
      </w:r>
      <w:r>
        <w:rPr>
          <w:rFonts w:hint="eastAsia" w:ascii="Times New Roman" w:hAnsi="Times New Roman" w:cs="Times New Roman"/>
          <w:kern w:val="2"/>
        </w:rPr>
        <w:t>的通知》（渝府发〔</w:t>
      </w:r>
      <w:r>
        <w:rPr>
          <w:rFonts w:ascii="Times New Roman" w:hAnsi="Times New Roman" w:cs="Times New Roman"/>
          <w:kern w:val="2"/>
        </w:rPr>
        <w:t>2019</w:t>
      </w:r>
      <w:r>
        <w:rPr>
          <w:rFonts w:hint="eastAsia" w:ascii="Times New Roman" w:hAnsi="Times New Roman" w:cs="Times New Roman"/>
          <w:kern w:val="2"/>
        </w:rPr>
        <w:t>〕</w:t>
      </w:r>
      <w:r>
        <w:rPr>
          <w:rFonts w:ascii="Times New Roman" w:hAnsi="Times New Roman" w:cs="Times New Roman"/>
          <w:kern w:val="2"/>
        </w:rPr>
        <w:t>34</w:t>
      </w:r>
      <w:r>
        <w:rPr>
          <w:rFonts w:hint="eastAsia" w:ascii="Times New Roman" w:hAnsi="Times New Roman" w:cs="Times New Roman"/>
          <w:kern w:val="2"/>
        </w:rPr>
        <w:t>号文）</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17</w:t>
      </w:r>
      <w:r>
        <w:rPr>
          <w:rFonts w:hint="eastAsia" w:ascii="Times New Roman" w:hAnsi="Times New Roman" w:cs="Times New Roman"/>
          <w:kern w:val="2"/>
        </w:rPr>
        <w:t>、《关于规范和加快物业小区</w:t>
      </w:r>
      <w:r>
        <w:rPr>
          <w:rFonts w:ascii="Times New Roman" w:hAnsi="Times New Roman" w:cs="Times New Roman"/>
          <w:kern w:val="2"/>
        </w:rPr>
        <w:t>5G</w:t>
      </w:r>
      <w:r>
        <w:rPr>
          <w:rFonts w:hint="eastAsia" w:ascii="Times New Roman" w:hAnsi="Times New Roman" w:cs="Times New Roman"/>
          <w:kern w:val="2"/>
        </w:rPr>
        <w:t>网络建设的通知》（渝府发〔</w:t>
      </w:r>
      <w:r>
        <w:rPr>
          <w:rFonts w:ascii="Times New Roman" w:hAnsi="Times New Roman" w:cs="Times New Roman"/>
          <w:kern w:val="2"/>
        </w:rPr>
        <w:t>2020</w:t>
      </w:r>
      <w:r>
        <w:rPr>
          <w:rFonts w:hint="eastAsia" w:ascii="Times New Roman" w:hAnsi="Times New Roman" w:cs="Times New Roman"/>
          <w:kern w:val="2"/>
        </w:rPr>
        <w:t>〕</w:t>
      </w:r>
      <w:r>
        <w:rPr>
          <w:rFonts w:ascii="Times New Roman" w:hAnsi="Times New Roman" w:cs="Times New Roman"/>
          <w:kern w:val="2"/>
        </w:rPr>
        <w:t>19</w:t>
      </w:r>
      <w:r>
        <w:rPr>
          <w:rFonts w:hint="eastAsia" w:ascii="Times New Roman" w:hAnsi="Times New Roman" w:cs="Times New Roman"/>
          <w:kern w:val="2"/>
        </w:rPr>
        <w:t>号文）</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18</w:t>
      </w:r>
      <w:r>
        <w:rPr>
          <w:rFonts w:hint="eastAsia" w:ascii="Times New Roman" w:hAnsi="Times New Roman" w:cs="Times New Roman"/>
          <w:kern w:val="2"/>
        </w:rPr>
        <w:t>、《城市通信工程规划规范》（</w:t>
      </w:r>
      <w:r>
        <w:rPr>
          <w:rFonts w:ascii="Times New Roman" w:hAnsi="Times New Roman" w:cs="Times New Roman"/>
          <w:kern w:val="2"/>
        </w:rPr>
        <w:t>GB/T 50853-2013</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19</w:t>
      </w:r>
      <w:r>
        <w:rPr>
          <w:rFonts w:hint="eastAsia" w:ascii="Times New Roman" w:hAnsi="Times New Roman" w:cs="Times New Roman"/>
          <w:kern w:val="2"/>
        </w:rPr>
        <w:t>、《重庆市管线工程规划管理办法》（</w:t>
      </w:r>
      <w:r>
        <w:rPr>
          <w:rFonts w:ascii="Times New Roman" w:hAnsi="Times New Roman" w:cs="Times New Roman"/>
          <w:kern w:val="2"/>
        </w:rPr>
        <w:t>2006</w:t>
      </w:r>
      <w:r>
        <w:rPr>
          <w:rFonts w:hint="eastAsia" w:ascii="Times New Roman" w:hAnsi="Times New Roman" w:cs="Times New Roman"/>
          <w:kern w:val="2"/>
        </w:rPr>
        <w:t>年）；</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20</w:t>
      </w:r>
      <w:r>
        <w:rPr>
          <w:rFonts w:hint="eastAsia" w:ascii="Times New Roman" w:hAnsi="Times New Roman" w:cs="Times New Roman"/>
          <w:kern w:val="2"/>
        </w:rPr>
        <w:t>、《重庆市梁平区城乡总体规划（</w:t>
      </w:r>
      <w:r>
        <w:rPr>
          <w:rFonts w:ascii="Times New Roman" w:hAnsi="Times New Roman" w:cs="Times New Roman"/>
          <w:kern w:val="2"/>
        </w:rPr>
        <w:t>2013</w:t>
      </w:r>
      <w:r>
        <w:rPr>
          <w:rFonts w:hint="eastAsia" w:ascii="Times New Roman" w:hAnsi="Times New Roman" w:cs="Times New Roman"/>
          <w:kern w:val="2"/>
        </w:rPr>
        <w:t>年编制）》；</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21</w:t>
      </w:r>
      <w:r>
        <w:rPr>
          <w:rFonts w:hint="eastAsia" w:ascii="Times New Roman" w:hAnsi="Times New Roman" w:cs="Times New Roman"/>
          <w:kern w:val="2"/>
        </w:rPr>
        <w:t>、《重庆市国民经济和社会发展第十二个五年规划通信业专项规划》；</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22</w:t>
      </w:r>
      <w:r>
        <w:rPr>
          <w:rFonts w:hint="eastAsia" w:ascii="Times New Roman" w:hAnsi="Times New Roman" w:cs="Times New Roman"/>
          <w:kern w:val="2"/>
        </w:rPr>
        <w:t>、《通信管道工程施工及验收规范》（</w:t>
      </w:r>
      <w:r>
        <w:rPr>
          <w:rFonts w:ascii="Times New Roman" w:hAnsi="Times New Roman" w:cs="Times New Roman"/>
          <w:kern w:val="2"/>
        </w:rPr>
        <w:t>GB 50374-2006</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23</w:t>
      </w:r>
      <w:r>
        <w:rPr>
          <w:rFonts w:hint="eastAsia" w:ascii="Times New Roman" w:hAnsi="Times New Roman" w:cs="Times New Roman"/>
          <w:kern w:val="2"/>
        </w:rPr>
        <w:t>、《电信工程制图与图形符号规定》（</w:t>
      </w:r>
      <w:r>
        <w:rPr>
          <w:rFonts w:ascii="Times New Roman" w:hAnsi="Times New Roman" w:cs="Times New Roman"/>
          <w:kern w:val="2"/>
        </w:rPr>
        <w:t>YD/T 5015 -2015</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24</w:t>
      </w:r>
      <w:r>
        <w:rPr>
          <w:rFonts w:hint="eastAsia" w:ascii="Times New Roman" w:hAnsi="Times New Roman" w:cs="Times New Roman"/>
          <w:kern w:val="2"/>
        </w:rPr>
        <w:t>、《移动通信天线通用技术规范》（</w:t>
      </w:r>
      <w:r>
        <w:rPr>
          <w:rFonts w:ascii="Times New Roman" w:hAnsi="Times New Roman" w:cs="Times New Roman"/>
          <w:kern w:val="2"/>
        </w:rPr>
        <w:t>GB/T 9410-2008</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25</w:t>
      </w:r>
      <w:r>
        <w:rPr>
          <w:rFonts w:hint="eastAsia" w:ascii="Times New Roman" w:hAnsi="Times New Roman" w:cs="Times New Roman"/>
          <w:kern w:val="2"/>
        </w:rPr>
        <w:t>、《移动通信室内信号分布系统天线技术条件》（</w:t>
      </w:r>
      <w:r>
        <w:rPr>
          <w:rFonts w:ascii="Times New Roman" w:hAnsi="Times New Roman" w:cs="Times New Roman"/>
          <w:kern w:val="2"/>
        </w:rPr>
        <w:t>GB/T 21195-2007</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26</w:t>
      </w:r>
      <w:r>
        <w:rPr>
          <w:rFonts w:hint="eastAsia" w:ascii="Times New Roman" w:hAnsi="Times New Roman" w:cs="Times New Roman"/>
          <w:kern w:val="2"/>
        </w:rPr>
        <w:t>、《电信术语天线》（</w:t>
      </w:r>
      <w:r>
        <w:rPr>
          <w:rFonts w:ascii="Times New Roman" w:hAnsi="Times New Roman" w:cs="Times New Roman"/>
          <w:kern w:val="2"/>
        </w:rPr>
        <w:t>GB/T 14733.10-2008</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27</w:t>
      </w:r>
      <w:r>
        <w:rPr>
          <w:rFonts w:hint="eastAsia" w:ascii="Times New Roman" w:hAnsi="Times New Roman" w:cs="Times New Roman"/>
          <w:kern w:val="2"/>
        </w:rPr>
        <w:t>、《住宅区和住宅建筑内光纤到户通信设施工程设计规范》（</w:t>
      </w:r>
      <w:r>
        <w:rPr>
          <w:rFonts w:ascii="Times New Roman" w:hAnsi="Times New Roman" w:cs="Times New Roman"/>
          <w:kern w:val="2"/>
        </w:rPr>
        <w:t>GB 50846-2012</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28</w:t>
      </w:r>
      <w:r>
        <w:rPr>
          <w:rFonts w:hint="eastAsia" w:ascii="Times New Roman" w:hAnsi="Times New Roman" w:cs="Times New Roman"/>
          <w:kern w:val="2"/>
        </w:rPr>
        <w:t>、《电磁环境控制限值》（</w:t>
      </w:r>
      <w:r>
        <w:rPr>
          <w:rFonts w:ascii="Times New Roman" w:hAnsi="Times New Roman" w:cs="Times New Roman"/>
          <w:kern w:val="2"/>
        </w:rPr>
        <w:t xml:space="preserve">GB 8702-2014 </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29</w:t>
      </w:r>
      <w:r>
        <w:rPr>
          <w:rFonts w:hint="eastAsia" w:ascii="Times New Roman" w:hAnsi="Times New Roman" w:cs="Times New Roman"/>
          <w:kern w:val="2"/>
        </w:rPr>
        <w:t>、《通信设备安装抗震设计图集》（</w:t>
      </w:r>
      <w:r>
        <w:rPr>
          <w:rFonts w:ascii="Times New Roman" w:hAnsi="Times New Roman" w:cs="Times New Roman"/>
          <w:kern w:val="2"/>
        </w:rPr>
        <w:t>YD 5060-2010</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30</w:t>
      </w:r>
      <w:r>
        <w:rPr>
          <w:rFonts w:hint="eastAsia" w:ascii="Times New Roman" w:hAnsi="Times New Roman" w:cs="Times New Roman"/>
          <w:kern w:val="2"/>
        </w:rPr>
        <w:t>、《通信建筑抗震设防分类标准》（</w:t>
      </w:r>
      <w:r>
        <w:rPr>
          <w:rFonts w:ascii="Times New Roman" w:hAnsi="Times New Roman" w:cs="Times New Roman"/>
          <w:kern w:val="2"/>
        </w:rPr>
        <w:t>YD 5054-2010</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31</w:t>
      </w:r>
      <w:r>
        <w:rPr>
          <w:rFonts w:hint="eastAsia" w:ascii="Times New Roman" w:hAnsi="Times New Roman" w:cs="Times New Roman"/>
          <w:kern w:val="2"/>
        </w:rPr>
        <w:t>、《电信基础设施共建共享工程技术暂行规定》（</w:t>
      </w:r>
      <w:r>
        <w:rPr>
          <w:rFonts w:ascii="Times New Roman" w:hAnsi="Times New Roman" w:cs="Times New Roman"/>
          <w:kern w:val="2"/>
        </w:rPr>
        <w:t>YD 5191-2009</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32</w:t>
      </w:r>
      <w:r>
        <w:rPr>
          <w:rFonts w:hint="eastAsia" w:ascii="Times New Roman" w:hAnsi="Times New Roman" w:cs="Times New Roman"/>
          <w:kern w:val="2"/>
        </w:rPr>
        <w:t>、《电信专用房屋设计规范》</w:t>
      </w:r>
      <w:r>
        <w:rPr>
          <w:rFonts w:ascii="Times New Roman" w:hAnsi="Times New Roman" w:cs="Times New Roman"/>
          <w:kern w:val="2"/>
        </w:rPr>
        <w:t>(YD/T 5003-2014)</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33</w:t>
      </w:r>
      <w:r>
        <w:rPr>
          <w:rFonts w:hint="eastAsia" w:ascii="Times New Roman" w:hAnsi="Times New Roman" w:cs="Times New Roman"/>
          <w:kern w:val="2"/>
        </w:rPr>
        <w:t>、工业和信息化部标准《</w:t>
      </w:r>
      <w:r>
        <w:rPr>
          <w:rFonts w:ascii="Times New Roman" w:hAnsi="Times New Roman" w:cs="Times New Roman"/>
          <w:kern w:val="2"/>
        </w:rPr>
        <w:t xml:space="preserve">LTE FDD </w:t>
      </w:r>
      <w:r>
        <w:rPr>
          <w:rFonts w:hint="eastAsia" w:ascii="Times New Roman" w:hAnsi="Times New Roman" w:cs="Times New Roman"/>
          <w:kern w:val="2"/>
        </w:rPr>
        <w:t>数字蜂窝移动通信网基站设备技术要求（第一阶段）》</w:t>
      </w:r>
      <w:r>
        <w:rPr>
          <w:rFonts w:ascii="Times New Roman" w:hAnsi="Times New Roman" w:cs="Times New Roman"/>
          <w:kern w:val="2"/>
        </w:rPr>
        <w:t>(YD/T0373-2012)</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34</w:t>
      </w:r>
      <w:r>
        <w:rPr>
          <w:rFonts w:hint="eastAsia" w:ascii="Times New Roman" w:hAnsi="Times New Roman" w:cs="Times New Roman"/>
          <w:kern w:val="2"/>
        </w:rPr>
        <w:t>、工业和信息化部标准《</w:t>
      </w:r>
      <w:r>
        <w:rPr>
          <w:rFonts w:ascii="Times New Roman" w:hAnsi="Times New Roman" w:cs="Times New Roman"/>
          <w:kern w:val="2"/>
        </w:rPr>
        <w:t>LTE FDD </w:t>
      </w:r>
      <w:r>
        <w:rPr>
          <w:rFonts w:hint="eastAsia" w:ascii="Times New Roman" w:hAnsi="Times New Roman" w:cs="Times New Roman"/>
          <w:kern w:val="2"/>
        </w:rPr>
        <w:t>数字蜂窝移动通信网基站设备测试方法（第一阶段）》</w:t>
      </w:r>
      <w:r>
        <w:rPr>
          <w:rFonts w:ascii="Times New Roman" w:hAnsi="Times New Roman" w:cs="Times New Roman"/>
          <w:kern w:val="2"/>
        </w:rPr>
        <w:t>(YD/T0374-2012)</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35</w:t>
      </w:r>
      <w:r>
        <w:rPr>
          <w:rFonts w:hint="eastAsia" w:ascii="Times New Roman" w:hAnsi="Times New Roman" w:cs="Times New Roman"/>
          <w:kern w:val="2"/>
        </w:rPr>
        <w:t>、《重庆市住宅建筑群电信用户驻地网建设规范》（</w:t>
      </w:r>
      <w:r>
        <w:rPr>
          <w:rFonts w:ascii="Times New Roman" w:hAnsi="Times New Roman" w:cs="Times New Roman"/>
          <w:kern w:val="2"/>
        </w:rPr>
        <w:t>DBJ50-056</w:t>
      </w:r>
      <w:r>
        <w:rPr>
          <w:rFonts w:hint="eastAsia" w:ascii="Times New Roman" w:hAnsi="Times New Roman" w:cs="Times New Roman"/>
          <w:kern w:val="2"/>
        </w:rPr>
        <w:t>－</w:t>
      </w:r>
      <w:r>
        <w:rPr>
          <w:rFonts w:ascii="Times New Roman" w:hAnsi="Times New Roman" w:cs="Times New Roman"/>
          <w:kern w:val="2"/>
        </w:rPr>
        <w:t>2011</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36</w:t>
      </w:r>
      <w:r>
        <w:rPr>
          <w:rFonts w:hint="eastAsia" w:ascii="Times New Roman" w:hAnsi="Times New Roman" w:cs="Times New Roman"/>
          <w:kern w:val="2"/>
        </w:rPr>
        <w:t>、《建筑施工场界环境噪声排放标准》（</w:t>
      </w:r>
      <w:r>
        <w:rPr>
          <w:rFonts w:ascii="Times New Roman" w:hAnsi="Times New Roman" w:cs="Times New Roman"/>
          <w:kern w:val="2"/>
        </w:rPr>
        <w:t>GB 12523-2011</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37</w:t>
      </w:r>
      <w:r>
        <w:rPr>
          <w:rFonts w:hint="eastAsia" w:ascii="Times New Roman" w:hAnsi="Times New Roman" w:cs="Times New Roman"/>
          <w:kern w:val="2"/>
        </w:rPr>
        <w:t>、《工业企业厂界噪声排放标准》（</w:t>
      </w:r>
      <w:r>
        <w:rPr>
          <w:rFonts w:ascii="Times New Roman" w:hAnsi="Times New Roman" w:cs="Times New Roman"/>
          <w:kern w:val="2"/>
        </w:rPr>
        <w:t>GB 12348-2008</w:t>
      </w:r>
      <w:r>
        <w:rPr>
          <w:rFonts w:hint="eastAsia" w:ascii="Times New Roman" w:hAnsi="Times New Roman" w:cs="Times New Roman"/>
          <w:kern w:val="2"/>
        </w:rPr>
        <w:t>）。</w:t>
      </w:r>
    </w:p>
    <w:p>
      <w:pPr>
        <w:pStyle w:val="3"/>
      </w:pPr>
      <w:bookmarkStart w:id="135" w:name="_Toc56092749"/>
      <w:r>
        <w:rPr>
          <w:rFonts w:hint="eastAsia"/>
        </w:rPr>
        <w:t>规划目标</w:t>
      </w:r>
      <w:bookmarkEnd w:id="135"/>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）满足需求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结合通信运营商需求，统一规划、统一设计，紧密结合未来通信网络宽带化、智能化、个性化的发展趋势，以智慧城市的通信基础设施为建设目标，以创新的发展模式为导向，努力创建一个公平竞争、有序发展的通信设施建设环境，为区域用户提供丰富优质的通信服务。</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）便于管理</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过合理的规划，使通信基础设施适应各区域的特点和功能布局。避免频繁报建和反复开挖，做到有序建设，可管可控。最终提供安全可靠、开放灵活、可扩展、可重新利用、充分适应新技术发展的宽带数字通信系统，高质量地满足区域快速发展的通信需求，提高城市竞争力，支撑本地区的持续快速发展。</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）绿色低碳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满足建设资源节约型、环境友好型社会的要求，通过统一规划，促进通信基础设施共建共享，节约土地、能源和原材料的消耗，保护自然环境和景观，减少重复建设，提高通信基础设施利用率。</w:t>
      </w:r>
    </w:p>
    <w:p>
      <w:pPr>
        <w:pStyle w:val="3"/>
      </w:pPr>
      <w:bookmarkStart w:id="136" w:name="_Toc56092750"/>
      <w:r>
        <w:rPr>
          <w:rFonts w:hint="eastAsia"/>
        </w:rPr>
        <w:t>指导思想</w:t>
      </w:r>
      <w:bookmarkEnd w:id="136"/>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《重庆市梁平区</w:t>
      </w:r>
      <w:r>
        <w:rPr>
          <w:rFonts w:ascii="Times New Roman" w:hAnsi="Times New Roman" w:cs="Times New Roman"/>
          <w:kern w:val="2"/>
        </w:rPr>
        <w:t>5G</w:t>
      </w:r>
      <w:r>
        <w:rPr>
          <w:rFonts w:hint="eastAsia" w:ascii="Times New Roman" w:hAnsi="Times New Roman" w:cs="Times New Roman"/>
          <w:kern w:val="2"/>
        </w:rPr>
        <w:t>通信基础设施规划》作为城市规划的一个组成部分，应符合国家的建设方针和政策。同时规划作为城市总体规划的下位规划，要服从和支持城市总体规划，从空间和时序上促进城市发展与各项建设协同进行。</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同时贯彻落实国家通信业</w:t>
      </w:r>
      <w:r>
        <w:rPr>
          <w:rFonts w:ascii="Times New Roman" w:hAnsi="Times New Roman" w:cs="Times New Roman"/>
          <w:kern w:val="2"/>
        </w:rPr>
        <w:t>“</w:t>
      </w:r>
      <w:r>
        <w:rPr>
          <w:rFonts w:hint="eastAsia" w:ascii="Times New Roman" w:hAnsi="Times New Roman" w:cs="Times New Roman"/>
          <w:kern w:val="2"/>
        </w:rPr>
        <w:t>十三五</w:t>
      </w:r>
      <w:r>
        <w:rPr>
          <w:rFonts w:ascii="Times New Roman" w:hAnsi="Times New Roman" w:cs="Times New Roman"/>
          <w:kern w:val="2"/>
        </w:rPr>
        <w:t>”</w:t>
      </w:r>
      <w:r>
        <w:rPr>
          <w:rFonts w:hint="eastAsia" w:ascii="Times New Roman" w:hAnsi="Times New Roman" w:cs="Times New Roman"/>
          <w:kern w:val="2"/>
        </w:rPr>
        <w:t>规划行业发展思路，以提升梁平区通信基础设施能力、服务经济社会发展为主线，以打造符合城市发展进程的绿色、先进、文明、和谐的下一代信息通信网络为目标，以将通信基础设施建设纳入到城市基础设施建设范畴为契机，科学规划、统筹部署，着力推进城市基础设施领域共建共享，着力完善环评流程、加大宣传力度消除群众认知误区，政企合力共创全社会支持通信基础设施建设的良好环境。</w:t>
      </w:r>
    </w:p>
    <w:p>
      <w:pPr>
        <w:pStyle w:val="3"/>
      </w:pPr>
      <w:bookmarkStart w:id="137" w:name="_Toc56092751"/>
      <w:r>
        <w:rPr>
          <w:rFonts w:hint="eastAsia"/>
        </w:rPr>
        <w:t>规划原则</w:t>
      </w:r>
      <w:bookmarkEnd w:id="137"/>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定位城市基础设施建设规划，注意规划的协调性。规划要紧密结合梁平区城市总体发展规划，注意与国家和地方通信业总体规划协调，注意与梁平区的总体布局的基础设施建设规划同步，放开眼光，拓宽思路，保证通信基础设施规划的协调性和战略性。</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为需满足各区域和行业通信需求，保证通信基础设施规划的政策性。坚决执行</w:t>
      </w:r>
      <w:r>
        <w:rPr>
          <w:rFonts w:ascii="Times New Roman" w:hAnsi="Times New Roman" w:cs="Times New Roman"/>
          <w:kern w:val="2"/>
        </w:rPr>
        <w:t>“</w:t>
      </w:r>
      <w:r>
        <w:rPr>
          <w:rFonts w:hint="eastAsia" w:ascii="Times New Roman" w:hAnsi="Times New Roman" w:cs="Times New Roman"/>
          <w:kern w:val="2"/>
        </w:rPr>
        <w:t>共建共享</w:t>
      </w:r>
      <w:r>
        <w:rPr>
          <w:rFonts w:ascii="Times New Roman" w:hAnsi="Times New Roman" w:cs="Times New Roman"/>
          <w:kern w:val="2"/>
        </w:rPr>
        <w:t>”</w:t>
      </w:r>
      <w:r>
        <w:rPr>
          <w:rFonts w:hint="eastAsia" w:ascii="Times New Roman" w:hAnsi="Times New Roman" w:cs="Times New Roman"/>
          <w:kern w:val="2"/>
        </w:rPr>
        <w:t>、</w:t>
      </w:r>
      <w:r>
        <w:rPr>
          <w:rFonts w:ascii="Times New Roman" w:hAnsi="Times New Roman" w:cs="Times New Roman"/>
          <w:kern w:val="2"/>
        </w:rPr>
        <w:t>“</w:t>
      </w:r>
      <w:r>
        <w:rPr>
          <w:rFonts w:hint="eastAsia" w:ascii="Times New Roman" w:hAnsi="Times New Roman" w:cs="Times New Roman"/>
          <w:kern w:val="2"/>
        </w:rPr>
        <w:t>推进光纤宽带建设</w:t>
      </w:r>
      <w:r>
        <w:rPr>
          <w:rFonts w:ascii="Times New Roman" w:hAnsi="Times New Roman" w:cs="Times New Roman"/>
          <w:kern w:val="2"/>
        </w:rPr>
        <w:t>”</w:t>
      </w:r>
      <w:r>
        <w:rPr>
          <w:rFonts w:hint="eastAsia" w:ascii="Times New Roman" w:hAnsi="Times New Roman" w:cs="Times New Roman"/>
          <w:kern w:val="2"/>
        </w:rPr>
        <w:t>等国家部委颁布的网络建设指导意见，进一步加大通信基础设施建设力度，进一步提升基站、铁塔、室内分布系统的共建共享数量，尤其是铁路、公路、高速、风景区、工业园区等重点区域。</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坚持以人为本和可持续发展的科学发展观，保证通信基础设施规划的可操作性。要坚持从实际出发，注意协调因群众认知误区产生的建设纠纷，集思广益，统筹考虑，采用新技术、新方法，进一步优化居民小区、学校、医院等通信基础设施建设困难区域的选址布局。</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坚持远粗近细的原则，兼顾长远发展与立足当前。遵循客观规律，努力做到目标科学、思路清晰、重点明确、措施可行，注重规划的实施效果，保证通信基础设施规划的指导性，为通信基础建设提供建设依据和制度保障。</w:t>
      </w:r>
      <w:r>
        <w:rPr>
          <w:rFonts w:ascii="Times New Roman" w:hAnsi="Times New Roman" w:cs="Times New Roman"/>
          <w:kern w:val="2"/>
        </w:rPr>
        <w:br w:type="page"/>
      </w:r>
    </w:p>
    <w:p>
      <w:pPr>
        <w:pStyle w:val="2"/>
      </w:pPr>
      <w:bookmarkStart w:id="138" w:name="_Toc533627796"/>
      <w:bookmarkStart w:id="139" w:name="_Toc533768032"/>
      <w:bookmarkStart w:id="140" w:name="_Toc56092752"/>
      <w:r>
        <w:t>5G</w:t>
      </w:r>
      <w:r>
        <w:rPr>
          <w:rFonts w:hint="eastAsia"/>
        </w:rPr>
        <w:t>发展意义及</w:t>
      </w:r>
      <w:bookmarkEnd w:id="138"/>
      <w:bookmarkEnd w:id="139"/>
      <w:r>
        <w:rPr>
          <w:rFonts w:hint="eastAsia"/>
        </w:rPr>
        <w:t>现状</w:t>
      </w:r>
      <w:bookmarkEnd w:id="140"/>
    </w:p>
    <w:p>
      <w:pPr>
        <w:pStyle w:val="3"/>
        <w:numPr>
          <w:ilvl w:val="0"/>
          <w:numId w:val="30"/>
        </w:numPr>
      </w:pPr>
      <w:bookmarkStart w:id="141" w:name="_Toc56092753"/>
      <w:r>
        <w:t>5G</w:t>
      </w:r>
      <w:r>
        <w:rPr>
          <w:rFonts w:hint="eastAsia"/>
        </w:rPr>
        <w:t>发展意义</w:t>
      </w:r>
      <w:bookmarkEnd w:id="141"/>
    </w:p>
    <w:p>
      <w:pPr>
        <w:pStyle w:val="5"/>
        <w:numPr>
          <w:ilvl w:val="0"/>
          <w:numId w:val="31"/>
        </w:numPr>
      </w:pPr>
      <w:bookmarkStart w:id="142" w:name="_Toc520729237"/>
      <w:bookmarkStart w:id="143" w:name="_Toc533627797"/>
      <w:bookmarkStart w:id="144" w:name="_Toc533768033"/>
      <w:bookmarkStart w:id="145" w:name="_Toc56092754"/>
      <w:r>
        <w:t>5G</w:t>
      </w:r>
      <w:r>
        <w:rPr>
          <w:rFonts w:hint="eastAsia"/>
        </w:rPr>
        <w:t>将实现“万物互联”，</w:t>
      </w:r>
      <w:bookmarkEnd w:id="142"/>
      <w:r>
        <w:rPr>
          <w:rFonts w:hint="eastAsia"/>
        </w:rPr>
        <w:t>开辟移动通信发展新时代</w:t>
      </w:r>
      <w:bookmarkEnd w:id="143"/>
      <w:bookmarkEnd w:id="144"/>
      <w:bookmarkEnd w:id="145"/>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移动通信保持着每十年出现新一代系统的规律，移动通信技术的代际跃迁使系统性能呈现指数级提升。区别于</w:t>
      </w:r>
      <w:r>
        <w:rPr>
          <w:rFonts w:ascii="Times New Roman" w:hAnsi="Times New Roman" w:cs="Times New Roman"/>
          <w:kern w:val="2"/>
        </w:rPr>
        <w:t>2G/3G/4G</w:t>
      </w:r>
      <w:r>
        <w:rPr>
          <w:rFonts w:hint="eastAsia" w:ascii="Times New Roman" w:hAnsi="Times New Roman" w:cs="Times New Roman"/>
          <w:kern w:val="2"/>
        </w:rPr>
        <w:t>，</w:t>
      </w:r>
      <w:r>
        <w:rPr>
          <w:rFonts w:ascii="Times New Roman" w:hAnsi="Times New Roman" w:cs="Times New Roman"/>
          <w:kern w:val="2"/>
        </w:rPr>
        <w:t>5G</w:t>
      </w:r>
      <w:r>
        <w:rPr>
          <w:rFonts w:hint="eastAsia" w:ascii="Times New Roman" w:hAnsi="Times New Roman" w:cs="Times New Roman"/>
          <w:kern w:val="2"/>
        </w:rPr>
        <w:t>不仅是移动通信技术的顺序提升，而是多种无线接入技术演进集成后解决方案的总称，</w:t>
      </w:r>
      <w:r>
        <w:rPr>
          <w:rFonts w:ascii="Times New Roman" w:hAnsi="Times New Roman" w:cs="Times New Roman"/>
          <w:kern w:val="2"/>
        </w:rPr>
        <w:t>5G</w:t>
      </w:r>
      <w:r>
        <w:rPr>
          <w:rFonts w:hint="eastAsia" w:ascii="Times New Roman" w:hAnsi="Times New Roman" w:cs="Times New Roman"/>
          <w:kern w:val="2"/>
        </w:rPr>
        <w:t>将以一种全新的网络架构，开启“万物互联”的新时代。</w:t>
      </w:r>
      <w:r>
        <w:rPr>
          <w:rFonts w:ascii="Times New Roman" w:hAnsi="Times New Roman" w:cs="Times New Roman"/>
          <w:kern w:val="2"/>
        </w:rPr>
        <w:t>5G</w:t>
      </w:r>
      <w:r>
        <w:rPr>
          <w:rFonts w:hint="eastAsia" w:ascii="Times New Roman" w:hAnsi="Times New Roman" w:cs="Times New Roman"/>
          <w:kern w:val="2"/>
        </w:rPr>
        <w:t>技术旨在实现以下几大目标</w:t>
      </w:r>
      <w:r>
        <w:rPr>
          <w:rFonts w:ascii="Times New Roman" w:hAnsi="Times New Roman" w:cs="Times New Roman"/>
          <w:kern w:val="2"/>
        </w:rPr>
        <w:t>:1</w:t>
      </w:r>
      <w:r>
        <w:rPr>
          <w:rFonts w:hint="eastAsia" w:ascii="Times New Roman" w:hAnsi="Times New Roman" w:cs="Times New Roman"/>
          <w:kern w:val="2"/>
        </w:rPr>
        <w:t>）</w:t>
      </w:r>
      <w:r>
        <w:rPr>
          <w:rFonts w:ascii="Times New Roman" w:hAnsi="Times New Roman" w:cs="Times New Roman"/>
          <w:kern w:val="2"/>
        </w:rPr>
        <w:t>1000x</w:t>
      </w:r>
      <w:r>
        <w:rPr>
          <w:rFonts w:hint="eastAsia" w:ascii="Times New Roman" w:hAnsi="Times New Roman" w:cs="Times New Roman"/>
          <w:kern w:val="2"/>
        </w:rPr>
        <w:t>的容量提升；</w:t>
      </w:r>
      <w:r>
        <w:rPr>
          <w:rFonts w:ascii="Times New Roman" w:hAnsi="Times New Roman" w:cs="Times New Roman"/>
          <w:kern w:val="2"/>
        </w:rPr>
        <w:t>2</w:t>
      </w:r>
      <w:r>
        <w:rPr>
          <w:rFonts w:hint="eastAsia" w:ascii="Times New Roman" w:hAnsi="Times New Roman" w:cs="Times New Roman"/>
          <w:kern w:val="2"/>
        </w:rPr>
        <w:t>）</w:t>
      </w:r>
      <w:r>
        <w:rPr>
          <w:rFonts w:ascii="Times New Roman" w:hAnsi="Times New Roman" w:cs="Times New Roman"/>
          <w:kern w:val="2"/>
        </w:rPr>
        <w:t>1000</w:t>
      </w:r>
      <w:r>
        <w:rPr>
          <w:rFonts w:hint="eastAsia" w:ascii="Times New Roman" w:hAnsi="Times New Roman" w:cs="Times New Roman"/>
          <w:kern w:val="2"/>
        </w:rPr>
        <w:t>亿</w:t>
      </w:r>
      <w:r>
        <w:rPr>
          <w:rFonts w:ascii="Times New Roman" w:hAnsi="Times New Roman" w:cs="Times New Roman"/>
          <w:kern w:val="2"/>
        </w:rPr>
        <w:t>+</w:t>
      </w:r>
      <w:r>
        <w:rPr>
          <w:rFonts w:hint="eastAsia" w:ascii="Times New Roman" w:hAnsi="Times New Roman" w:cs="Times New Roman"/>
          <w:kern w:val="2"/>
        </w:rPr>
        <w:t>的连接支持；</w:t>
      </w:r>
      <w:r>
        <w:rPr>
          <w:rFonts w:ascii="Times New Roman" w:hAnsi="Times New Roman" w:cs="Times New Roman"/>
          <w:kern w:val="2"/>
        </w:rPr>
        <w:t>3</w:t>
      </w:r>
      <w:r>
        <w:rPr>
          <w:rFonts w:hint="eastAsia" w:ascii="Times New Roman" w:hAnsi="Times New Roman" w:cs="Times New Roman"/>
          <w:kern w:val="2"/>
        </w:rPr>
        <w:t>）</w:t>
      </w:r>
      <w:r>
        <w:rPr>
          <w:rFonts w:ascii="Times New Roman" w:hAnsi="Times New Roman" w:cs="Times New Roman"/>
          <w:kern w:val="2"/>
        </w:rPr>
        <w:t xml:space="preserve">10GB/s </w:t>
      </w:r>
      <w:r>
        <w:rPr>
          <w:rFonts w:hint="eastAsia" w:ascii="Times New Roman" w:hAnsi="Times New Roman" w:cs="Times New Roman"/>
          <w:kern w:val="2"/>
        </w:rPr>
        <w:t>的速度；</w:t>
      </w:r>
      <w:r>
        <w:rPr>
          <w:rFonts w:ascii="Times New Roman" w:hAnsi="Times New Roman" w:cs="Times New Roman"/>
          <w:kern w:val="2"/>
        </w:rPr>
        <w:t>4</w:t>
      </w:r>
      <w:r>
        <w:rPr>
          <w:rFonts w:hint="eastAsia" w:ascii="Times New Roman" w:hAnsi="Times New Roman" w:cs="Times New Roman"/>
          <w:kern w:val="2"/>
        </w:rPr>
        <w:t>）</w:t>
      </w:r>
      <w:r>
        <w:rPr>
          <w:rFonts w:ascii="Times New Roman" w:hAnsi="Times New Roman" w:cs="Times New Roman"/>
          <w:kern w:val="2"/>
        </w:rPr>
        <w:t xml:space="preserve">1ms </w:t>
      </w:r>
      <w:r>
        <w:rPr>
          <w:rFonts w:hint="eastAsia" w:ascii="Times New Roman" w:hAnsi="Times New Roman" w:cs="Times New Roman"/>
          <w:kern w:val="2"/>
        </w:rPr>
        <w:t>以下的延迟。国际电信联盟</w:t>
      </w:r>
      <w:r>
        <w:rPr>
          <w:rFonts w:ascii="Times New Roman" w:hAnsi="Times New Roman" w:cs="Times New Roman"/>
          <w:kern w:val="2"/>
        </w:rPr>
        <w:t>ITU</w:t>
      </w:r>
      <w:r>
        <w:rPr>
          <w:rFonts w:hint="eastAsia" w:ascii="Times New Roman" w:hAnsi="Times New Roman" w:cs="Times New Roman"/>
          <w:kern w:val="2"/>
        </w:rPr>
        <w:t>定义了</w:t>
      </w:r>
      <w:r>
        <w:rPr>
          <w:rFonts w:ascii="Times New Roman" w:hAnsi="Times New Roman" w:cs="Times New Roman"/>
          <w:kern w:val="2"/>
        </w:rPr>
        <w:t>5G</w:t>
      </w:r>
      <w:r>
        <w:rPr>
          <w:rFonts w:hint="eastAsia" w:ascii="Times New Roman" w:hAnsi="Times New Roman" w:cs="Times New Roman"/>
          <w:kern w:val="2"/>
        </w:rPr>
        <w:t>三大主要应用场景：增强型移动宽带（</w:t>
      </w:r>
      <w:r>
        <w:rPr>
          <w:rFonts w:ascii="Times New Roman" w:hAnsi="Times New Roman" w:cs="Times New Roman"/>
          <w:kern w:val="2"/>
        </w:rPr>
        <w:t>eMBB</w:t>
      </w:r>
      <w:r>
        <w:rPr>
          <w:rFonts w:hint="eastAsia" w:ascii="Times New Roman" w:hAnsi="Times New Roman" w:cs="Times New Roman"/>
          <w:kern w:val="2"/>
        </w:rPr>
        <w:t>）、大规模物联网（</w:t>
      </w:r>
      <w:r>
        <w:rPr>
          <w:rFonts w:ascii="Times New Roman" w:hAnsi="Times New Roman" w:cs="Times New Roman"/>
          <w:kern w:val="2"/>
        </w:rPr>
        <w:t>mMTC</w:t>
      </w:r>
      <w:r>
        <w:rPr>
          <w:rFonts w:hint="eastAsia" w:ascii="Times New Roman" w:hAnsi="Times New Roman" w:cs="Times New Roman"/>
          <w:kern w:val="2"/>
        </w:rPr>
        <w:t>）及低时延高可靠通信（</w:t>
      </w:r>
      <w:r>
        <w:rPr>
          <w:rFonts w:ascii="Times New Roman" w:hAnsi="Times New Roman" w:cs="Times New Roman"/>
          <w:kern w:val="2"/>
        </w:rPr>
        <w:t>uRLLC</w:t>
      </w:r>
      <w:r>
        <w:rPr>
          <w:rFonts w:hint="eastAsia" w:ascii="Times New Roman" w:hAnsi="Times New Roman" w:cs="Times New Roman"/>
          <w:kern w:val="2"/>
        </w:rPr>
        <w:t>）。其中，前者主要面向移动互联网应用，后两个则主要针对物联网及行业应用。</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将全面推进经济社会智能化，开辟移动通信发展新时代，引发信息革命风暴。</w:t>
      </w:r>
      <w:r>
        <w:rPr>
          <w:rFonts w:ascii="Times New Roman" w:hAnsi="Times New Roman" w:cs="Times New Roman"/>
          <w:kern w:val="2"/>
        </w:rPr>
        <w:t>5G</w:t>
      </w:r>
      <w:r>
        <w:rPr>
          <w:rFonts w:hint="eastAsia" w:ascii="Times New Roman" w:hAnsi="Times New Roman" w:cs="Times New Roman"/>
          <w:kern w:val="2"/>
        </w:rPr>
        <w:t>作为一项通用型技术，将多种物联网场景以卓越的性能进行互联，与大数据、云计算、人工智能等新一代</w:t>
      </w:r>
      <w:r>
        <w:rPr>
          <w:rFonts w:ascii="Times New Roman" w:hAnsi="Times New Roman" w:cs="Times New Roman"/>
          <w:kern w:val="2"/>
        </w:rPr>
        <w:t>ICT</w:t>
      </w:r>
      <w:r>
        <w:rPr>
          <w:rFonts w:hint="eastAsia" w:ascii="Times New Roman" w:hAnsi="Times New Roman" w:cs="Times New Roman"/>
          <w:kern w:val="2"/>
        </w:rPr>
        <w:t>技术相结合，带动车联网、智能家居、医疗健康等垂直行业的蓬勃发展，并催生大量的行业应用及就业机会，从消费到生产，从平台到生态，全面推动数字经济发展迈上新台阶。</w:t>
      </w:r>
    </w:p>
    <w:p>
      <w:pPr>
        <w:pStyle w:val="5"/>
      </w:pPr>
      <w:bookmarkStart w:id="146" w:name="_Toc533768034"/>
      <w:bookmarkStart w:id="147" w:name="_Toc520729238"/>
      <w:bookmarkStart w:id="148" w:name="_Toc533627798"/>
      <w:bookmarkStart w:id="149" w:name="_Toc56092755"/>
      <w:r>
        <w:t xml:space="preserve">5G </w:t>
      </w:r>
      <w:r>
        <w:rPr>
          <w:rFonts w:hint="eastAsia"/>
        </w:rPr>
        <w:t>是数字化战略的先导领域，</w:t>
      </w:r>
      <w:bookmarkEnd w:id="146"/>
      <w:bookmarkEnd w:id="147"/>
      <w:bookmarkEnd w:id="148"/>
      <w:r>
        <w:rPr>
          <w:rFonts w:hint="eastAsia"/>
        </w:rPr>
        <w:t>积极抢占</w:t>
      </w:r>
      <w:r>
        <w:t>5G</w:t>
      </w:r>
      <w:r>
        <w:rPr>
          <w:rFonts w:hint="eastAsia"/>
        </w:rPr>
        <w:t>制高点意义重大</w:t>
      </w:r>
      <w:bookmarkEnd w:id="149"/>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不同于以往的历代移动通信系统，</w:t>
      </w:r>
      <w:r>
        <w:rPr>
          <w:rFonts w:ascii="Times New Roman" w:hAnsi="Times New Roman" w:cs="Times New Roman"/>
          <w:kern w:val="2"/>
        </w:rPr>
        <w:t>5G</w:t>
      </w:r>
      <w:r>
        <w:rPr>
          <w:rFonts w:hint="eastAsia" w:ascii="Times New Roman" w:hAnsi="Times New Roman" w:cs="Times New Roman"/>
          <w:kern w:val="2"/>
        </w:rPr>
        <w:t>将带领移动通信产业从人人互联走向更加广阔的万物互联，从而对各行各业乃至全球经济社会产生重大影响。全球著名咨询公司</w:t>
      </w:r>
      <w:r>
        <w:rPr>
          <w:rFonts w:ascii="Times New Roman" w:hAnsi="Times New Roman" w:cs="Times New Roman"/>
          <w:kern w:val="2"/>
        </w:rPr>
        <w:t>IHS Markit</w:t>
      </w:r>
      <w:r>
        <w:rPr>
          <w:rFonts w:hint="eastAsia" w:ascii="Times New Roman" w:hAnsi="Times New Roman" w:cs="Times New Roman"/>
          <w:kern w:val="2"/>
        </w:rPr>
        <w:t>研究指出，</w:t>
      </w:r>
      <w:r>
        <w:rPr>
          <w:rFonts w:ascii="Times New Roman" w:hAnsi="Times New Roman" w:cs="Times New Roman"/>
          <w:kern w:val="2"/>
        </w:rPr>
        <w:t>5G</w:t>
      </w:r>
      <w:r>
        <w:rPr>
          <w:rFonts w:hint="eastAsia" w:ascii="Times New Roman" w:hAnsi="Times New Roman" w:cs="Times New Roman"/>
          <w:kern w:val="2"/>
        </w:rPr>
        <w:t>将成为对全球经济有巨大、可持续影响的通用技术。</w:t>
      </w:r>
      <w:r>
        <w:rPr>
          <w:rFonts w:ascii="Times New Roman" w:hAnsi="Times New Roman" w:cs="Times New Roman"/>
          <w:kern w:val="2"/>
        </w:rPr>
        <w:t>2020-2035</w:t>
      </w:r>
      <w:r>
        <w:rPr>
          <w:rFonts w:hint="eastAsia" w:ascii="Times New Roman" w:hAnsi="Times New Roman" w:cs="Times New Roman"/>
          <w:kern w:val="2"/>
        </w:rPr>
        <w:t>年期间，</w:t>
      </w:r>
      <w:r>
        <w:rPr>
          <w:rFonts w:ascii="Times New Roman" w:hAnsi="Times New Roman" w:cs="Times New Roman"/>
          <w:kern w:val="2"/>
        </w:rPr>
        <w:t>5G</w:t>
      </w:r>
      <w:r>
        <w:rPr>
          <w:rFonts w:hint="eastAsia" w:ascii="Times New Roman" w:hAnsi="Times New Roman" w:cs="Times New Roman"/>
          <w:kern w:val="2"/>
        </w:rPr>
        <w:t>对全球</w:t>
      </w:r>
      <w:r>
        <w:rPr>
          <w:rFonts w:ascii="Times New Roman" w:hAnsi="Times New Roman" w:cs="Times New Roman"/>
          <w:kern w:val="2"/>
        </w:rPr>
        <w:t>GDP</w:t>
      </w:r>
      <w:r>
        <w:rPr>
          <w:rFonts w:hint="eastAsia" w:ascii="Times New Roman" w:hAnsi="Times New Roman" w:cs="Times New Roman"/>
          <w:kern w:val="2"/>
        </w:rPr>
        <w:t>增长的贡献率将达到</w:t>
      </w:r>
      <w:r>
        <w:rPr>
          <w:rFonts w:ascii="Times New Roman" w:hAnsi="Times New Roman" w:cs="Times New Roman"/>
          <w:kern w:val="2"/>
        </w:rPr>
        <w:t>7%</w:t>
      </w:r>
      <w:r>
        <w:rPr>
          <w:rFonts w:hint="eastAsia" w:ascii="Times New Roman" w:hAnsi="Times New Roman" w:cs="Times New Roman"/>
          <w:kern w:val="2"/>
        </w:rPr>
        <w:t>，年均产值将达到</w:t>
      </w:r>
      <w:r>
        <w:rPr>
          <w:rFonts w:ascii="Times New Roman" w:hAnsi="Times New Roman" w:cs="Times New Roman"/>
          <w:kern w:val="2"/>
        </w:rPr>
        <w:t>3</w:t>
      </w:r>
      <w:r>
        <w:rPr>
          <w:rFonts w:hint="eastAsia" w:ascii="Times New Roman" w:hAnsi="Times New Roman" w:cs="Times New Roman"/>
          <w:kern w:val="2"/>
        </w:rPr>
        <w:t>万亿美元。</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全球各国的数字经济战略均将</w:t>
      </w:r>
      <w:r>
        <w:rPr>
          <w:rFonts w:ascii="Times New Roman" w:hAnsi="Times New Roman" w:cs="Times New Roman"/>
          <w:kern w:val="2"/>
        </w:rPr>
        <w:t>5G</w:t>
      </w:r>
      <w:r>
        <w:rPr>
          <w:rFonts w:hint="eastAsia" w:ascii="Times New Roman" w:hAnsi="Times New Roman" w:cs="Times New Roman"/>
          <w:kern w:val="2"/>
        </w:rPr>
        <w:t>作为优先发展的领域，力图超前研发和部署</w:t>
      </w:r>
      <w:r>
        <w:rPr>
          <w:rFonts w:ascii="Times New Roman" w:hAnsi="Times New Roman" w:cs="Times New Roman"/>
          <w:kern w:val="2"/>
        </w:rPr>
        <w:t>5G</w:t>
      </w:r>
      <w:r>
        <w:rPr>
          <w:rFonts w:hint="eastAsia" w:ascii="Times New Roman" w:hAnsi="Times New Roman" w:cs="Times New Roman"/>
          <w:kern w:val="2"/>
        </w:rPr>
        <w:t>网络，普及</w:t>
      </w:r>
      <w:r>
        <w:rPr>
          <w:rFonts w:ascii="Times New Roman" w:hAnsi="Times New Roman" w:cs="Times New Roman"/>
          <w:kern w:val="2"/>
        </w:rPr>
        <w:t>5G</w:t>
      </w:r>
      <w:r>
        <w:rPr>
          <w:rFonts w:hint="eastAsia" w:ascii="Times New Roman" w:hAnsi="Times New Roman" w:cs="Times New Roman"/>
          <w:kern w:val="2"/>
        </w:rPr>
        <w:t>应用，加快数字化转型的步伐。欧盟</w:t>
      </w:r>
      <w:r>
        <w:rPr>
          <w:rFonts w:ascii="Times New Roman" w:hAnsi="Times New Roman" w:cs="Times New Roman"/>
          <w:kern w:val="2"/>
        </w:rPr>
        <w:t>2016</w:t>
      </w:r>
      <w:r>
        <w:rPr>
          <w:rFonts w:hint="eastAsia" w:ascii="Times New Roman" w:hAnsi="Times New Roman" w:cs="Times New Roman"/>
          <w:kern w:val="2"/>
        </w:rPr>
        <w:t>年发布了</w:t>
      </w:r>
      <w:r>
        <w:rPr>
          <w:rFonts w:ascii="Times New Roman" w:hAnsi="Times New Roman" w:cs="Times New Roman"/>
          <w:kern w:val="2"/>
        </w:rPr>
        <w:t>5G</w:t>
      </w:r>
      <w:r>
        <w:rPr>
          <w:rFonts w:hint="eastAsia" w:ascii="Times New Roman" w:hAnsi="Times New Roman" w:cs="Times New Roman"/>
          <w:kern w:val="2"/>
        </w:rPr>
        <w:t>行动计划，明确了</w:t>
      </w:r>
      <w:r>
        <w:rPr>
          <w:rFonts w:ascii="Times New Roman" w:hAnsi="Times New Roman" w:cs="Times New Roman"/>
          <w:kern w:val="2"/>
        </w:rPr>
        <w:t>2016</w:t>
      </w:r>
      <w:r>
        <w:rPr>
          <w:rFonts w:hint="eastAsia" w:ascii="Times New Roman" w:hAnsi="Times New Roman" w:cs="Times New Roman"/>
          <w:kern w:val="2"/>
        </w:rPr>
        <w:t>至</w:t>
      </w:r>
      <w:r>
        <w:rPr>
          <w:rFonts w:ascii="Times New Roman" w:hAnsi="Times New Roman" w:cs="Times New Roman"/>
          <w:kern w:val="2"/>
        </w:rPr>
        <w:t>2025</w:t>
      </w:r>
      <w:r>
        <w:rPr>
          <w:rFonts w:hint="eastAsia" w:ascii="Times New Roman" w:hAnsi="Times New Roman" w:cs="Times New Roman"/>
          <w:kern w:val="2"/>
        </w:rPr>
        <w:t>年欧盟在</w:t>
      </w:r>
      <w:r>
        <w:rPr>
          <w:rFonts w:ascii="Times New Roman" w:hAnsi="Times New Roman" w:cs="Times New Roman"/>
          <w:kern w:val="2"/>
        </w:rPr>
        <w:t>5G</w:t>
      </w:r>
      <w:r>
        <w:rPr>
          <w:rFonts w:hint="eastAsia" w:ascii="Times New Roman" w:hAnsi="Times New Roman" w:cs="Times New Roman"/>
          <w:kern w:val="2"/>
        </w:rPr>
        <w:t>频率、标准、试验、商用、行业应用、资金投入及国际合作等方面推进计划，预计</w:t>
      </w:r>
      <w:r>
        <w:rPr>
          <w:rFonts w:ascii="Times New Roman" w:hAnsi="Times New Roman" w:cs="Times New Roman"/>
          <w:kern w:val="2"/>
        </w:rPr>
        <w:t>2020</w:t>
      </w:r>
      <w:r>
        <w:rPr>
          <w:rFonts w:hint="eastAsia" w:ascii="Times New Roman" w:hAnsi="Times New Roman" w:cs="Times New Roman"/>
          <w:kern w:val="2"/>
        </w:rPr>
        <w:t>年底推动</w:t>
      </w:r>
      <w:r>
        <w:rPr>
          <w:rFonts w:ascii="Times New Roman" w:hAnsi="Times New Roman" w:cs="Times New Roman"/>
          <w:kern w:val="2"/>
        </w:rPr>
        <w:t>5G</w:t>
      </w:r>
      <w:r>
        <w:rPr>
          <w:rFonts w:hint="eastAsia" w:ascii="Times New Roman" w:hAnsi="Times New Roman" w:cs="Times New Roman"/>
          <w:kern w:val="2"/>
        </w:rPr>
        <w:t>全面商用。美国于</w:t>
      </w:r>
      <w:r>
        <w:rPr>
          <w:rFonts w:ascii="Times New Roman" w:hAnsi="Times New Roman" w:cs="Times New Roman"/>
          <w:kern w:val="2"/>
        </w:rPr>
        <w:t>2016</w:t>
      </w:r>
      <w:r>
        <w:rPr>
          <w:rFonts w:hint="eastAsia" w:ascii="Times New Roman" w:hAnsi="Times New Roman" w:cs="Times New Roman"/>
          <w:kern w:val="2"/>
        </w:rPr>
        <w:t>年</w:t>
      </w:r>
      <w:r>
        <w:rPr>
          <w:rFonts w:ascii="Times New Roman" w:hAnsi="Times New Roman" w:cs="Times New Roman"/>
          <w:kern w:val="2"/>
        </w:rPr>
        <w:t>7</w:t>
      </w:r>
      <w:r>
        <w:rPr>
          <w:rFonts w:hint="eastAsia" w:ascii="Times New Roman" w:hAnsi="Times New Roman" w:cs="Times New Roman"/>
          <w:kern w:val="2"/>
        </w:rPr>
        <w:t>月在全球率先发布</w:t>
      </w:r>
      <w:r>
        <w:rPr>
          <w:rFonts w:ascii="Times New Roman" w:hAnsi="Times New Roman" w:cs="Times New Roman"/>
          <w:kern w:val="2"/>
        </w:rPr>
        <w:t>10.85GHz</w:t>
      </w:r>
      <w:r>
        <w:rPr>
          <w:rFonts w:hint="eastAsia" w:ascii="Times New Roman" w:hAnsi="Times New Roman" w:cs="Times New Roman"/>
          <w:kern w:val="2"/>
        </w:rPr>
        <w:t>的</w:t>
      </w:r>
      <w:r>
        <w:rPr>
          <w:rFonts w:ascii="Times New Roman" w:hAnsi="Times New Roman" w:cs="Times New Roman"/>
          <w:kern w:val="2"/>
        </w:rPr>
        <w:t>5G</w:t>
      </w:r>
      <w:r>
        <w:rPr>
          <w:rFonts w:hint="eastAsia" w:ascii="Times New Roman" w:hAnsi="Times New Roman" w:cs="Times New Roman"/>
          <w:kern w:val="2"/>
        </w:rPr>
        <w:t>高频频谱，运营商</w:t>
      </w:r>
      <w:r>
        <w:rPr>
          <w:rFonts w:ascii="Times New Roman" w:hAnsi="Times New Roman" w:cs="Times New Roman"/>
          <w:kern w:val="2"/>
        </w:rPr>
        <w:t>Verizon 2017</w:t>
      </w:r>
      <w:r>
        <w:rPr>
          <w:rFonts w:hint="eastAsia" w:ascii="Times New Roman" w:hAnsi="Times New Roman" w:cs="Times New Roman"/>
          <w:kern w:val="2"/>
        </w:rPr>
        <w:t>年在</w:t>
      </w:r>
      <w:r>
        <w:rPr>
          <w:rFonts w:ascii="Times New Roman" w:hAnsi="Times New Roman" w:cs="Times New Roman"/>
          <w:kern w:val="2"/>
        </w:rPr>
        <w:t>11</w:t>
      </w:r>
      <w:r>
        <w:rPr>
          <w:rFonts w:hint="eastAsia" w:ascii="Times New Roman" w:hAnsi="Times New Roman" w:cs="Times New Roman"/>
          <w:kern w:val="2"/>
        </w:rPr>
        <w:t>个城市建设</w:t>
      </w:r>
      <w:r>
        <w:rPr>
          <w:rFonts w:ascii="Times New Roman" w:hAnsi="Times New Roman" w:cs="Times New Roman"/>
          <w:kern w:val="2"/>
        </w:rPr>
        <w:t>5G</w:t>
      </w:r>
      <w:r>
        <w:rPr>
          <w:rFonts w:hint="eastAsia" w:ascii="Times New Roman" w:hAnsi="Times New Roman" w:cs="Times New Roman"/>
          <w:kern w:val="2"/>
        </w:rPr>
        <w:t>技术试验网。日本</w:t>
      </w:r>
      <w:r>
        <w:rPr>
          <w:rFonts w:ascii="Times New Roman" w:hAnsi="Times New Roman" w:cs="Times New Roman"/>
          <w:kern w:val="2"/>
        </w:rPr>
        <w:t>2017</w:t>
      </w:r>
      <w:r>
        <w:rPr>
          <w:rFonts w:hint="eastAsia" w:ascii="Times New Roman" w:hAnsi="Times New Roman" w:cs="Times New Roman"/>
          <w:kern w:val="2"/>
        </w:rPr>
        <w:t>年启动</w:t>
      </w:r>
      <w:r>
        <w:rPr>
          <w:rFonts w:ascii="Times New Roman" w:hAnsi="Times New Roman" w:cs="Times New Roman"/>
          <w:kern w:val="2"/>
        </w:rPr>
        <w:t>5G</w:t>
      </w:r>
      <w:r>
        <w:rPr>
          <w:rFonts w:hint="eastAsia" w:ascii="Times New Roman" w:hAnsi="Times New Roman" w:cs="Times New Roman"/>
          <w:kern w:val="2"/>
        </w:rPr>
        <w:t>技术试验，</w:t>
      </w:r>
      <w:r>
        <w:rPr>
          <w:rFonts w:ascii="Times New Roman" w:hAnsi="Times New Roman" w:cs="Times New Roman"/>
          <w:kern w:val="2"/>
        </w:rPr>
        <w:t>2020</w:t>
      </w:r>
      <w:r>
        <w:rPr>
          <w:rFonts w:hint="eastAsia" w:ascii="Times New Roman" w:hAnsi="Times New Roman" w:cs="Times New Roman"/>
          <w:kern w:val="2"/>
        </w:rPr>
        <w:t>年东京奥运会前正式实现</w:t>
      </w:r>
      <w:r>
        <w:rPr>
          <w:rFonts w:ascii="Times New Roman" w:hAnsi="Times New Roman" w:cs="Times New Roman"/>
          <w:kern w:val="2"/>
        </w:rPr>
        <w:t>5G</w:t>
      </w:r>
      <w:r>
        <w:rPr>
          <w:rFonts w:hint="eastAsia" w:ascii="Times New Roman" w:hAnsi="Times New Roman" w:cs="Times New Roman"/>
          <w:kern w:val="2"/>
        </w:rPr>
        <w:t>商用。韩国发布</w:t>
      </w:r>
      <w:r>
        <w:rPr>
          <w:rFonts w:ascii="Times New Roman" w:hAnsi="Times New Roman" w:cs="Times New Roman"/>
          <w:kern w:val="2"/>
        </w:rPr>
        <w:t>5G</w:t>
      </w:r>
      <w:r>
        <w:rPr>
          <w:rFonts w:hint="eastAsia" w:ascii="Times New Roman" w:hAnsi="Times New Roman" w:cs="Times New Roman"/>
          <w:kern w:val="2"/>
        </w:rPr>
        <w:t>创新战略，成立</w:t>
      </w:r>
      <w:r>
        <w:rPr>
          <w:rFonts w:ascii="Times New Roman" w:hAnsi="Times New Roman" w:cs="Times New Roman"/>
          <w:kern w:val="2"/>
        </w:rPr>
        <w:t>5G</w:t>
      </w:r>
      <w:r>
        <w:rPr>
          <w:rFonts w:hint="eastAsia" w:ascii="Times New Roman" w:hAnsi="Times New Roman" w:cs="Times New Roman"/>
          <w:kern w:val="2"/>
        </w:rPr>
        <w:t>论坛，启动重大项目，计划投入</w:t>
      </w:r>
      <w:r>
        <w:rPr>
          <w:rFonts w:ascii="Times New Roman" w:hAnsi="Times New Roman" w:cs="Times New Roman"/>
          <w:kern w:val="2"/>
        </w:rPr>
        <w:t>1.6</w:t>
      </w:r>
      <w:r>
        <w:rPr>
          <w:rFonts w:hint="eastAsia" w:ascii="Times New Roman" w:hAnsi="Times New Roman" w:cs="Times New Roman"/>
          <w:kern w:val="2"/>
        </w:rPr>
        <w:t>万亿韩元（约</w:t>
      </w:r>
      <w:r>
        <w:rPr>
          <w:rFonts w:ascii="Times New Roman" w:hAnsi="Times New Roman" w:cs="Times New Roman"/>
          <w:kern w:val="2"/>
        </w:rPr>
        <w:t>14.3</w:t>
      </w:r>
      <w:r>
        <w:rPr>
          <w:rFonts w:hint="eastAsia" w:ascii="Times New Roman" w:hAnsi="Times New Roman" w:cs="Times New Roman"/>
          <w:kern w:val="2"/>
        </w:rPr>
        <w:t>亿美元）研发资金，并在</w:t>
      </w:r>
      <w:r>
        <w:rPr>
          <w:rFonts w:ascii="Times New Roman" w:hAnsi="Times New Roman" w:cs="Times New Roman"/>
          <w:kern w:val="2"/>
        </w:rPr>
        <w:t>2018</w:t>
      </w:r>
      <w:r>
        <w:rPr>
          <w:rFonts w:hint="eastAsia" w:ascii="Times New Roman" w:hAnsi="Times New Roman" w:cs="Times New Roman"/>
          <w:kern w:val="2"/>
        </w:rPr>
        <w:t>年平昌冬奥会开展了</w:t>
      </w:r>
      <w:r>
        <w:rPr>
          <w:rFonts w:ascii="Times New Roman" w:hAnsi="Times New Roman" w:cs="Times New Roman"/>
          <w:kern w:val="2"/>
        </w:rPr>
        <w:t>5G</w:t>
      </w:r>
      <w:r>
        <w:rPr>
          <w:rFonts w:hint="eastAsia" w:ascii="Times New Roman" w:hAnsi="Times New Roman" w:cs="Times New Roman"/>
          <w:kern w:val="2"/>
        </w:rPr>
        <w:t>预商用试验。</w:t>
      </w:r>
    </w:p>
    <w:p>
      <w:pPr>
        <w:pStyle w:val="5"/>
      </w:pPr>
      <w:bookmarkStart w:id="150" w:name="_Toc533627799"/>
      <w:bookmarkStart w:id="151" w:name="_Toc533768035"/>
      <w:bookmarkStart w:id="152" w:name="_Toc520729239"/>
      <w:bookmarkStart w:id="153" w:name="_Toc56092756"/>
      <w:r>
        <w:t>5G</w:t>
      </w:r>
      <w:r>
        <w:rPr>
          <w:rFonts w:hint="eastAsia"/>
        </w:rPr>
        <w:t>将催生中国经济增长新动能，驱动国家创新战略</w:t>
      </w:r>
      <w:bookmarkEnd w:id="150"/>
      <w:bookmarkEnd w:id="151"/>
      <w:bookmarkEnd w:id="152"/>
      <w:bookmarkEnd w:id="153"/>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作为我国未来国家关键网络基础设施，将进一步升级中国的互联网设施，成为驱动中国“新经济”发展的基础性平台，为中国传统产业加速技术改造和跨界整合提供强力支撑，加速中国各类产业转型升级，推动中国垂直产业数字化、智能化、网络化，拓展产业创新发展的新空间。</w:t>
      </w:r>
      <w:r>
        <w:rPr>
          <w:rFonts w:ascii="Times New Roman" w:hAnsi="Times New Roman" w:cs="Times New Roman"/>
          <w:kern w:val="2"/>
        </w:rPr>
        <w:t>5G</w:t>
      </w:r>
      <w:r>
        <w:rPr>
          <w:rFonts w:hint="eastAsia" w:ascii="Times New Roman" w:hAnsi="Times New Roman" w:cs="Times New Roman"/>
          <w:kern w:val="2"/>
        </w:rPr>
        <w:t>是经济社会发展的重要引擎，是经济社会数字化转型的关键使能器。据中国信息通信研究院测算</w:t>
      </w:r>
      <w:r>
        <w:rPr>
          <w:rFonts w:ascii="Times New Roman" w:hAnsi="Times New Roman" w:cs="Times New Roman"/>
          <w:kern w:val="2"/>
        </w:rPr>
        <w:t xml:space="preserve"> </w:t>
      </w:r>
      <w:r>
        <w:rPr>
          <w:rFonts w:hint="eastAsia" w:ascii="Times New Roman" w:hAnsi="Times New Roman" w:cs="Times New Roman"/>
          <w:kern w:val="2"/>
        </w:rPr>
        <w:t>，至</w:t>
      </w:r>
      <w:r>
        <w:rPr>
          <w:rFonts w:ascii="Times New Roman" w:hAnsi="Times New Roman" w:cs="Times New Roman"/>
          <w:kern w:val="2"/>
        </w:rPr>
        <w:t>2030</w:t>
      </w:r>
      <w:r>
        <w:rPr>
          <w:rFonts w:hint="eastAsia" w:ascii="Times New Roman" w:hAnsi="Times New Roman" w:cs="Times New Roman"/>
          <w:kern w:val="2"/>
        </w:rPr>
        <w:t>年，我国</w:t>
      </w:r>
      <w:r>
        <w:rPr>
          <w:rFonts w:ascii="Times New Roman" w:hAnsi="Times New Roman" w:cs="Times New Roman"/>
          <w:kern w:val="2"/>
        </w:rPr>
        <w:t>5G</w:t>
      </w:r>
      <w:r>
        <w:rPr>
          <w:rFonts w:hint="eastAsia" w:ascii="Times New Roman" w:hAnsi="Times New Roman" w:cs="Times New Roman"/>
          <w:kern w:val="2"/>
        </w:rPr>
        <w:t>发展在直接贡献方面，将带动的总产出、经济增加值、就业机会分别为</w:t>
      </w:r>
      <w:r>
        <w:rPr>
          <w:rFonts w:ascii="Times New Roman" w:hAnsi="Times New Roman" w:cs="Times New Roman"/>
          <w:kern w:val="2"/>
        </w:rPr>
        <w:t>6.3</w:t>
      </w:r>
      <w:r>
        <w:rPr>
          <w:rFonts w:hint="eastAsia" w:ascii="Times New Roman" w:hAnsi="Times New Roman" w:cs="Times New Roman"/>
          <w:kern w:val="2"/>
        </w:rPr>
        <w:t>万亿元、</w:t>
      </w:r>
      <w:r>
        <w:rPr>
          <w:rFonts w:ascii="Times New Roman" w:hAnsi="Times New Roman" w:cs="Times New Roman"/>
          <w:kern w:val="2"/>
        </w:rPr>
        <w:t>2.9</w:t>
      </w:r>
      <w:r>
        <w:rPr>
          <w:rFonts w:hint="eastAsia" w:ascii="Times New Roman" w:hAnsi="Times New Roman" w:cs="Times New Roman"/>
          <w:kern w:val="2"/>
        </w:rPr>
        <w:t>万亿元和</w:t>
      </w:r>
      <w:r>
        <w:rPr>
          <w:rFonts w:ascii="Times New Roman" w:hAnsi="Times New Roman" w:cs="Times New Roman"/>
          <w:kern w:val="2"/>
        </w:rPr>
        <w:t>800</w:t>
      </w:r>
      <w:r>
        <w:rPr>
          <w:rFonts w:hint="eastAsia" w:ascii="Times New Roman" w:hAnsi="Times New Roman" w:cs="Times New Roman"/>
          <w:kern w:val="2"/>
        </w:rPr>
        <w:t>万个；在间接贡献方面，将带动的总产出、经济增加值、就业机会分别为</w:t>
      </w:r>
      <w:r>
        <w:rPr>
          <w:rFonts w:ascii="Times New Roman" w:hAnsi="Times New Roman" w:cs="Times New Roman"/>
          <w:kern w:val="2"/>
        </w:rPr>
        <w:t>10.6</w:t>
      </w:r>
      <w:r>
        <w:rPr>
          <w:rFonts w:hint="eastAsia" w:ascii="Times New Roman" w:hAnsi="Times New Roman" w:cs="Times New Roman"/>
          <w:kern w:val="2"/>
        </w:rPr>
        <w:t>万亿元、</w:t>
      </w:r>
      <w:r>
        <w:rPr>
          <w:rFonts w:ascii="Times New Roman" w:hAnsi="Times New Roman" w:cs="Times New Roman"/>
          <w:kern w:val="2"/>
        </w:rPr>
        <w:t>3.6</w:t>
      </w:r>
      <w:r>
        <w:rPr>
          <w:rFonts w:hint="eastAsia" w:ascii="Times New Roman" w:hAnsi="Times New Roman" w:cs="Times New Roman"/>
          <w:kern w:val="2"/>
        </w:rPr>
        <w:t>万亿元和</w:t>
      </w:r>
      <w:r>
        <w:rPr>
          <w:rFonts w:ascii="Times New Roman" w:hAnsi="Times New Roman" w:cs="Times New Roman"/>
          <w:kern w:val="2"/>
        </w:rPr>
        <w:t>1150</w:t>
      </w:r>
      <w:r>
        <w:rPr>
          <w:rFonts w:hint="eastAsia" w:ascii="Times New Roman" w:hAnsi="Times New Roman" w:cs="Times New Roman"/>
          <w:kern w:val="2"/>
        </w:rPr>
        <w:t>万个。</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面对</w:t>
      </w:r>
      <w:r>
        <w:rPr>
          <w:rFonts w:ascii="Times New Roman" w:hAnsi="Times New Roman" w:cs="Times New Roman"/>
          <w:kern w:val="2"/>
        </w:rPr>
        <w:t>5G</w:t>
      </w:r>
      <w:r>
        <w:rPr>
          <w:rFonts w:hint="eastAsia" w:ascii="Times New Roman" w:hAnsi="Times New Roman" w:cs="Times New Roman"/>
          <w:kern w:val="2"/>
        </w:rPr>
        <w:t>发展的重大机遇，我国政府高度重视</w:t>
      </w:r>
      <w:r>
        <w:rPr>
          <w:rFonts w:ascii="Times New Roman" w:hAnsi="Times New Roman" w:cs="Times New Roman"/>
          <w:kern w:val="2"/>
        </w:rPr>
        <w:t>5G</w:t>
      </w:r>
      <w:r>
        <w:rPr>
          <w:rFonts w:hint="eastAsia" w:ascii="Times New Roman" w:hAnsi="Times New Roman" w:cs="Times New Roman"/>
          <w:kern w:val="2"/>
        </w:rPr>
        <w:t>发展，视为实施国家创新战略的重要抓手之一。《中华人民共和国国民经济和社会发展第十三个五年规划纲要》、《国家信息化发展战略纲要》等重大文件及</w:t>
      </w:r>
      <w:r>
        <w:rPr>
          <w:rFonts w:ascii="Times New Roman" w:hAnsi="Times New Roman" w:cs="Times New Roman"/>
          <w:kern w:val="2"/>
        </w:rPr>
        <w:t>2019</w:t>
      </w:r>
      <w:r>
        <w:rPr>
          <w:rFonts w:hint="eastAsia" w:ascii="Times New Roman" w:hAnsi="Times New Roman" w:cs="Times New Roman"/>
          <w:kern w:val="2"/>
        </w:rPr>
        <w:t>年中央经济工作会议均对推动</w:t>
      </w:r>
      <w:r>
        <w:rPr>
          <w:rFonts w:ascii="Times New Roman" w:hAnsi="Times New Roman" w:cs="Times New Roman"/>
          <w:kern w:val="2"/>
        </w:rPr>
        <w:t>5G</w:t>
      </w:r>
      <w:r>
        <w:rPr>
          <w:rFonts w:hint="eastAsia" w:ascii="Times New Roman" w:hAnsi="Times New Roman" w:cs="Times New Roman"/>
          <w:kern w:val="2"/>
        </w:rPr>
        <w:t>发展做出了明确部署。我国主动加强开放合作，</w:t>
      </w:r>
      <w:r>
        <w:rPr>
          <w:rFonts w:ascii="Times New Roman" w:hAnsi="Times New Roman" w:cs="Times New Roman"/>
          <w:kern w:val="2"/>
        </w:rPr>
        <w:t>5G</w:t>
      </w:r>
      <w:r>
        <w:rPr>
          <w:rFonts w:hint="eastAsia" w:ascii="Times New Roman" w:hAnsi="Times New Roman" w:cs="Times New Roman"/>
          <w:kern w:val="2"/>
        </w:rPr>
        <w:t>国际话语权不断提升，已具备与国际先进企业同台竞争的综合实力。自</w:t>
      </w:r>
      <w:r>
        <w:rPr>
          <w:rFonts w:ascii="Times New Roman" w:hAnsi="Times New Roman" w:cs="Times New Roman"/>
          <w:kern w:val="2"/>
        </w:rPr>
        <w:t>2013</w:t>
      </w:r>
      <w:r>
        <w:rPr>
          <w:rFonts w:hint="eastAsia" w:ascii="Times New Roman" w:hAnsi="Times New Roman" w:cs="Times New Roman"/>
          <w:kern w:val="2"/>
        </w:rPr>
        <w:t>年成立</w:t>
      </w:r>
      <w:r>
        <w:rPr>
          <w:rFonts w:ascii="Times New Roman" w:hAnsi="Times New Roman" w:cs="Times New Roman"/>
          <w:kern w:val="2"/>
        </w:rPr>
        <w:t>“IMT-2020</w:t>
      </w:r>
      <w:r>
        <w:rPr>
          <w:rFonts w:hint="eastAsia" w:ascii="Times New Roman" w:hAnsi="Times New Roman" w:cs="Times New Roman"/>
          <w:kern w:val="2"/>
        </w:rPr>
        <w:t>推进组</w:t>
      </w:r>
      <w:r>
        <w:rPr>
          <w:rFonts w:ascii="Times New Roman" w:hAnsi="Times New Roman" w:cs="Times New Roman"/>
          <w:kern w:val="2"/>
        </w:rPr>
        <w:t>”</w:t>
      </w:r>
      <w:r>
        <w:rPr>
          <w:rFonts w:hint="eastAsia" w:ascii="Times New Roman" w:hAnsi="Times New Roman" w:cs="Times New Roman"/>
          <w:kern w:val="2"/>
        </w:rPr>
        <w:t>以来，国内</w:t>
      </w:r>
      <w:r>
        <w:rPr>
          <w:rFonts w:ascii="Times New Roman" w:hAnsi="Times New Roman" w:cs="Times New Roman"/>
          <w:kern w:val="2"/>
        </w:rPr>
        <w:t>5G</w:t>
      </w:r>
      <w:r>
        <w:rPr>
          <w:rFonts w:hint="eastAsia" w:ascii="Times New Roman" w:hAnsi="Times New Roman" w:cs="Times New Roman"/>
          <w:kern w:val="2"/>
        </w:rPr>
        <w:t>持续快速推进，目前在怀柔建成了全球最大的</w:t>
      </w:r>
      <w:r>
        <w:rPr>
          <w:rFonts w:ascii="Times New Roman" w:hAnsi="Times New Roman" w:cs="Times New Roman"/>
          <w:kern w:val="2"/>
        </w:rPr>
        <w:t>5G</w:t>
      </w:r>
      <w:r>
        <w:rPr>
          <w:rFonts w:hint="eastAsia" w:ascii="Times New Roman" w:hAnsi="Times New Roman" w:cs="Times New Roman"/>
          <w:kern w:val="2"/>
        </w:rPr>
        <w:t>试验网，于</w:t>
      </w:r>
      <w:r>
        <w:rPr>
          <w:rFonts w:ascii="Times New Roman" w:hAnsi="Times New Roman" w:cs="Times New Roman"/>
          <w:kern w:val="2"/>
        </w:rPr>
        <w:t>2018</w:t>
      </w:r>
      <w:r>
        <w:rPr>
          <w:rFonts w:hint="eastAsia" w:ascii="Times New Roman" w:hAnsi="Times New Roman" w:cs="Times New Roman"/>
          <w:kern w:val="2"/>
        </w:rPr>
        <w:t>年初启动了第三阶段测试，该阶段测试主要基于</w:t>
      </w:r>
      <w:r>
        <w:rPr>
          <w:rFonts w:ascii="Times New Roman" w:hAnsi="Times New Roman" w:cs="Times New Roman"/>
          <w:kern w:val="2"/>
        </w:rPr>
        <w:t>3GPP R15</w:t>
      </w:r>
      <w:r>
        <w:rPr>
          <w:rFonts w:hint="eastAsia" w:ascii="Times New Roman" w:hAnsi="Times New Roman" w:cs="Times New Roman"/>
          <w:kern w:val="2"/>
        </w:rPr>
        <w:t>标准版本，测试面向预商用</w:t>
      </w:r>
      <w:r>
        <w:rPr>
          <w:rFonts w:ascii="Times New Roman" w:hAnsi="Times New Roman" w:cs="Times New Roman"/>
          <w:kern w:val="2"/>
        </w:rPr>
        <w:t>/</w:t>
      </w:r>
      <w:r>
        <w:rPr>
          <w:rFonts w:hint="eastAsia" w:ascii="Times New Roman" w:hAnsi="Times New Roman" w:cs="Times New Roman"/>
          <w:kern w:val="2"/>
        </w:rPr>
        <w:t>商用的系统设备，重点开展单站、组网性能及相关互联互通测试。标准制定方面，牵头</w:t>
      </w:r>
      <w:r>
        <w:rPr>
          <w:rFonts w:ascii="Times New Roman" w:hAnsi="Times New Roman" w:cs="Times New Roman"/>
          <w:kern w:val="2"/>
        </w:rPr>
        <w:t>5G</w:t>
      </w:r>
      <w:r>
        <w:rPr>
          <w:rFonts w:hint="eastAsia" w:ascii="Times New Roman" w:hAnsi="Times New Roman" w:cs="Times New Roman"/>
          <w:kern w:val="2"/>
        </w:rPr>
        <w:t>系统架构、车联网等一系列重要研究项目，华为的多项关键技术已被采纳为</w:t>
      </w:r>
      <w:r>
        <w:rPr>
          <w:rFonts w:ascii="Times New Roman" w:hAnsi="Times New Roman" w:cs="Times New Roman"/>
          <w:kern w:val="2"/>
        </w:rPr>
        <w:t>5G</w:t>
      </w:r>
      <w:r>
        <w:rPr>
          <w:rFonts w:hint="eastAsia" w:ascii="Times New Roman" w:hAnsi="Times New Roman" w:cs="Times New Roman"/>
          <w:kern w:val="2"/>
        </w:rPr>
        <w:t>国际核心标准，在创新技术领域具有一定的知识产权优势。行业应用方面，研究</w:t>
      </w:r>
      <w:r>
        <w:rPr>
          <w:rFonts w:ascii="Times New Roman" w:hAnsi="Times New Roman" w:cs="Times New Roman"/>
          <w:kern w:val="2"/>
        </w:rPr>
        <w:t>5G</w:t>
      </w:r>
      <w:r>
        <w:rPr>
          <w:rFonts w:hint="eastAsia" w:ascii="Times New Roman" w:hAnsi="Times New Roman" w:cs="Times New Roman"/>
          <w:kern w:val="2"/>
        </w:rPr>
        <w:t>与垂直行业融合的需求及解决方案</w:t>
      </w:r>
      <w:r>
        <w:rPr>
          <w:rFonts w:ascii="Times New Roman" w:hAnsi="Times New Roman" w:cs="Times New Roman"/>
          <w:kern w:val="2"/>
        </w:rPr>
        <w:t>,</w:t>
      </w:r>
      <w:r>
        <w:rPr>
          <w:rFonts w:hint="eastAsia" w:ascii="Times New Roman" w:hAnsi="Times New Roman" w:cs="Times New Roman"/>
          <w:kern w:val="2"/>
        </w:rPr>
        <w:t>开展试验与应用示范，进行产业与应用与推广。</w:t>
      </w:r>
    </w:p>
    <w:p>
      <w:pPr>
        <w:pStyle w:val="5"/>
      </w:pPr>
      <w:bookmarkStart w:id="154" w:name="_Toc56092757"/>
      <w:r>
        <w:t>5G</w:t>
      </w:r>
      <w:r>
        <w:rPr>
          <w:rFonts w:hint="eastAsia"/>
        </w:rPr>
        <w:t>商用发展如火如荼，把握应用和产业发展窗口机遇至关重要</w:t>
      </w:r>
      <w:bookmarkEnd w:id="154"/>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近两年是培育和强化</w:t>
      </w:r>
      <w:r>
        <w:rPr>
          <w:rFonts w:ascii="Times New Roman" w:hAnsi="Times New Roman" w:cs="Times New Roman"/>
          <w:kern w:val="2"/>
        </w:rPr>
        <w:t>5G</w:t>
      </w:r>
      <w:r>
        <w:rPr>
          <w:rFonts w:hint="eastAsia" w:ascii="Times New Roman" w:hAnsi="Times New Roman" w:cs="Times New Roman"/>
          <w:kern w:val="2"/>
        </w:rPr>
        <w:t>在各行业应用观念的黄金机遇期，需要依托</w:t>
      </w:r>
      <w:r>
        <w:rPr>
          <w:rFonts w:ascii="Times New Roman" w:hAnsi="Times New Roman" w:cs="Times New Roman"/>
          <w:kern w:val="2"/>
        </w:rPr>
        <w:t>4G</w:t>
      </w:r>
      <w:r>
        <w:rPr>
          <w:rFonts w:hint="eastAsia" w:ascii="Times New Roman" w:hAnsi="Times New Roman" w:cs="Times New Roman"/>
          <w:kern w:val="2"/>
        </w:rPr>
        <w:t>部署</w:t>
      </w:r>
      <w:r>
        <w:rPr>
          <w:rFonts w:ascii="Times New Roman" w:hAnsi="Times New Roman" w:cs="Times New Roman"/>
          <w:kern w:val="2"/>
        </w:rPr>
        <w:t>5G</w:t>
      </w:r>
      <w:r>
        <w:rPr>
          <w:rFonts w:hint="eastAsia" w:ascii="Times New Roman" w:hAnsi="Times New Roman" w:cs="Times New Roman"/>
          <w:kern w:val="2"/>
        </w:rPr>
        <w:t>技术和应用，提前积累经验。部分行业应用已经开始在</w:t>
      </w:r>
      <w:r>
        <w:rPr>
          <w:rFonts w:ascii="Times New Roman" w:hAnsi="Times New Roman" w:cs="Times New Roman"/>
          <w:kern w:val="2"/>
        </w:rPr>
        <w:t>4G</w:t>
      </w:r>
      <w:r>
        <w:rPr>
          <w:rFonts w:hint="eastAsia" w:ascii="Times New Roman" w:hAnsi="Times New Roman" w:cs="Times New Roman"/>
          <w:kern w:val="2"/>
        </w:rPr>
        <w:t>网络上进行尝试，如车联网、工业互联网、智慧城市等应用已经借助于</w:t>
      </w:r>
      <w:r>
        <w:rPr>
          <w:rFonts w:ascii="Times New Roman" w:hAnsi="Times New Roman" w:cs="Times New Roman"/>
          <w:kern w:val="2"/>
        </w:rPr>
        <w:t>LTE-V2X</w:t>
      </w:r>
      <w:r>
        <w:rPr>
          <w:rFonts w:hint="eastAsia" w:ascii="Times New Roman" w:hAnsi="Times New Roman" w:cs="Times New Roman"/>
          <w:kern w:val="2"/>
        </w:rPr>
        <w:t>、移动物联网技术（</w:t>
      </w:r>
      <w:r>
        <w:rPr>
          <w:rFonts w:ascii="Times New Roman" w:hAnsi="Times New Roman" w:cs="Times New Roman"/>
          <w:kern w:val="2"/>
        </w:rPr>
        <w:t>NB-IoT</w:t>
      </w:r>
      <w:r>
        <w:rPr>
          <w:rFonts w:hint="eastAsia" w:ascii="Times New Roman" w:hAnsi="Times New Roman" w:cs="Times New Roman"/>
          <w:kern w:val="2"/>
        </w:rPr>
        <w:t>、</w:t>
      </w:r>
      <w:r>
        <w:rPr>
          <w:rFonts w:ascii="Times New Roman" w:hAnsi="Times New Roman" w:cs="Times New Roman"/>
          <w:kern w:val="2"/>
        </w:rPr>
        <w:t>eMTC</w:t>
      </w:r>
      <w:r>
        <w:rPr>
          <w:rFonts w:hint="eastAsia" w:ascii="Times New Roman" w:hAnsi="Times New Roman" w:cs="Times New Roman"/>
          <w:kern w:val="2"/>
        </w:rPr>
        <w:t>等）开始商用部署，为大规模推动</w:t>
      </w:r>
      <w:r>
        <w:rPr>
          <w:rFonts w:ascii="Times New Roman" w:hAnsi="Times New Roman" w:cs="Times New Roman"/>
          <w:kern w:val="2"/>
        </w:rPr>
        <w:t>5G</w:t>
      </w:r>
      <w:r>
        <w:rPr>
          <w:rFonts w:hint="eastAsia" w:ascii="Times New Roman" w:hAnsi="Times New Roman" w:cs="Times New Roman"/>
          <w:kern w:val="2"/>
        </w:rPr>
        <w:t>行业应用奠定良好基础。</w:t>
      </w:r>
      <w:r>
        <w:rPr>
          <w:rFonts w:ascii="Times New Roman" w:hAnsi="Times New Roman" w:cs="Times New Roman"/>
          <w:kern w:val="2"/>
        </w:rPr>
        <w:t>5G</w:t>
      </w:r>
      <w:r>
        <w:rPr>
          <w:rFonts w:hint="eastAsia" w:ascii="Times New Roman" w:hAnsi="Times New Roman" w:cs="Times New Roman"/>
          <w:kern w:val="2"/>
        </w:rPr>
        <w:t>初期将重点解决数据需求较大的城市密集地区，农村及偏远地区移动宽带接入需求仍需要</w:t>
      </w:r>
      <w:r>
        <w:rPr>
          <w:rFonts w:ascii="Times New Roman" w:hAnsi="Times New Roman" w:cs="Times New Roman"/>
          <w:kern w:val="2"/>
        </w:rPr>
        <w:t>4G</w:t>
      </w:r>
      <w:r>
        <w:rPr>
          <w:rFonts w:hint="eastAsia" w:ascii="Times New Roman" w:hAnsi="Times New Roman" w:cs="Times New Roman"/>
          <w:kern w:val="2"/>
        </w:rPr>
        <w:t>技术来满足，</w:t>
      </w:r>
      <w:r>
        <w:rPr>
          <w:rFonts w:ascii="Times New Roman" w:hAnsi="Times New Roman" w:cs="Times New Roman"/>
          <w:kern w:val="2"/>
        </w:rPr>
        <w:t>4G</w:t>
      </w:r>
      <w:r>
        <w:rPr>
          <w:rFonts w:hint="eastAsia" w:ascii="Times New Roman" w:hAnsi="Times New Roman" w:cs="Times New Roman"/>
          <w:kern w:val="2"/>
        </w:rPr>
        <w:t>与</w:t>
      </w:r>
      <w:r>
        <w:rPr>
          <w:rFonts w:ascii="Times New Roman" w:hAnsi="Times New Roman" w:cs="Times New Roman"/>
          <w:kern w:val="2"/>
        </w:rPr>
        <w:t>5G</w:t>
      </w:r>
      <w:r>
        <w:rPr>
          <w:rFonts w:hint="eastAsia" w:ascii="Times New Roman" w:hAnsi="Times New Roman" w:cs="Times New Roman"/>
          <w:kern w:val="2"/>
        </w:rPr>
        <w:t>技术将长期协同发展。</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三大运营商均加快各项准备，中国移动已经全面启动</w:t>
      </w:r>
      <w:r>
        <w:rPr>
          <w:rFonts w:ascii="Times New Roman" w:hAnsi="Times New Roman" w:cs="Times New Roman"/>
          <w:kern w:val="2"/>
        </w:rPr>
        <w:t>17</w:t>
      </w:r>
      <w:r>
        <w:rPr>
          <w:rFonts w:hint="eastAsia" w:ascii="Times New Roman" w:hAnsi="Times New Roman" w:cs="Times New Roman"/>
          <w:kern w:val="2"/>
        </w:rPr>
        <w:t>个城市的规模试验；中国联通已在</w:t>
      </w:r>
      <w:r>
        <w:rPr>
          <w:rFonts w:ascii="Times New Roman" w:hAnsi="Times New Roman" w:cs="Times New Roman"/>
          <w:kern w:val="2"/>
        </w:rPr>
        <w:t>16</w:t>
      </w:r>
      <w:r>
        <w:rPr>
          <w:rFonts w:hint="eastAsia" w:ascii="Times New Roman" w:hAnsi="Times New Roman" w:cs="Times New Roman"/>
          <w:kern w:val="2"/>
        </w:rPr>
        <w:t>个城市陆续开启</w:t>
      </w:r>
      <w:r>
        <w:rPr>
          <w:rFonts w:ascii="Times New Roman" w:hAnsi="Times New Roman" w:cs="Times New Roman"/>
          <w:kern w:val="2"/>
        </w:rPr>
        <w:t>5G</w:t>
      </w:r>
      <w:r>
        <w:rPr>
          <w:rFonts w:hint="eastAsia" w:ascii="Times New Roman" w:hAnsi="Times New Roman" w:cs="Times New Roman"/>
          <w:kern w:val="2"/>
        </w:rPr>
        <w:t>规模试验；中国电信打造</w:t>
      </w:r>
      <w:r>
        <w:rPr>
          <w:rFonts w:ascii="Times New Roman" w:hAnsi="Times New Roman" w:cs="Times New Roman"/>
          <w:kern w:val="2"/>
        </w:rPr>
        <w:t>5G</w:t>
      </w:r>
      <w:r>
        <w:rPr>
          <w:rFonts w:hint="eastAsia" w:ascii="Times New Roman" w:hAnsi="Times New Roman" w:cs="Times New Roman"/>
          <w:kern w:val="2"/>
        </w:rPr>
        <w:t>示范工程，开展</w:t>
      </w:r>
      <w:r>
        <w:rPr>
          <w:rFonts w:ascii="Times New Roman" w:hAnsi="Times New Roman" w:cs="Times New Roman"/>
          <w:kern w:val="2"/>
        </w:rPr>
        <w:t>17</w:t>
      </w:r>
      <w:r>
        <w:rPr>
          <w:rFonts w:hint="eastAsia" w:ascii="Times New Roman" w:hAnsi="Times New Roman" w:cs="Times New Roman"/>
          <w:kern w:val="2"/>
        </w:rPr>
        <w:t>个城市规模试验。</w:t>
      </w:r>
      <w:r>
        <w:rPr>
          <w:rFonts w:ascii="Times New Roman" w:hAnsi="Times New Roman" w:cs="Times New Roman"/>
          <w:kern w:val="2"/>
        </w:rPr>
        <w:t>2019</w:t>
      </w:r>
      <w:r>
        <w:rPr>
          <w:rFonts w:hint="eastAsia" w:ascii="Times New Roman" w:hAnsi="Times New Roman" w:cs="Times New Roman"/>
          <w:kern w:val="2"/>
        </w:rPr>
        <w:t>年，中国移动确定在全国超过</w:t>
      </w:r>
      <w:r>
        <w:rPr>
          <w:rFonts w:ascii="Times New Roman" w:hAnsi="Times New Roman" w:cs="Times New Roman"/>
          <w:kern w:val="2"/>
        </w:rPr>
        <w:t>50</w:t>
      </w:r>
      <w:r>
        <w:rPr>
          <w:rFonts w:hint="eastAsia" w:ascii="Times New Roman" w:hAnsi="Times New Roman" w:cs="Times New Roman"/>
          <w:kern w:val="2"/>
        </w:rPr>
        <w:t>个城市部署</w:t>
      </w:r>
      <w:r>
        <w:rPr>
          <w:rFonts w:ascii="Times New Roman" w:hAnsi="Times New Roman" w:cs="Times New Roman"/>
          <w:kern w:val="2"/>
        </w:rPr>
        <w:t>5</w:t>
      </w:r>
      <w:r>
        <w:rPr>
          <w:rFonts w:hint="eastAsia" w:ascii="Times New Roman" w:hAnsi="Times New Roman" w:cs="Times New Roman"/>
          <w:kern w:val="2"/>
        </w:rPr>
        <w:t>万个基站提供商用服务，中国联通发布了“</w:t>
      </w:r>
      <w:r>
        <w:rPr>
          <w:rFonts w:ascii="Times New Roman" w:hAnsi="Times New Roman" w:cs="Times New Roman"/>
          <w:kern w:val="2"/>
        </w:rPr>
        <w:t>7+33+n</w:t>
      </w:r>
      <w:r>
        <w:rPr>
          <w:rFonts w:hint="eastAsia" w:ascii="Times New Roman" w:hAnsi="Times New Roman" w:cs="Times New Roman"/>
          <w:kern w:val="2"/>
        </w:rPr>
        <w:t>”</w:t>
      </w:r>
      <w:r>
        <w:rPr>
          <w:rFonts w:ascii="Times New Roman" w:hAnsi="Times New Roman" w:cs="Times New Roman"/>
          <w:kern w:val="2"/>
        </w:rPr>
        <w:t>5G</w:t>
      </w:r>
      <w:r>
        <w:rPr>
          <w:rFonts w:hint="eastAsia" w:ascii="Times New Roman" w:hAnsi="Times New Roman" w:cs="Times New Roman"/>
          <w:kern w:val="2"/>
        </w:rPr>
        <w:t>网络部署，即在北京、广州、深圳、南京、杭州、雄安</w:t>
      </w:r>
      <w:r>
        <w:rPr>
          <w:rFonts w:ascii="Times New Roman" w:hAnsi="Times New Roman" w:cs="Times New Roman"/>
          <w:kern w:val="2"/>
        </w:rPr>
        <w:t>7</w:t>
      </w:r>
      <w:r>
        <w:rPr>
          <w:rFonts w:hint="eastAsia" w:ascii="Times New Roman" w:hAnsi="Times New Roman" w:cs="Times New Roman"/>
          <w:kern w:val="2"/>
        </w:rPr>
        <w:t>个城市城区连续覆盖，</w:t>
      </w:r>
      <w:r>
        <w:rPr>
          <w:rFonts w:ascii="Times New Roman" w:hAnsi="Times New Roman" w:cs="Times New Roman"/>
          <w:kern w:val="2"/>
        </w:rPr>
        <w:t>33</w:t>
      </w:r>
      <w:r>
        <w:rPr>
          <w:rFonts w:hint="eastAsia" w:ascii="Times New Roman" w:hAnsi="Times New Roman" w:cs="Times New Roman"/>
          <w:kern w:val="2"/>
        </w:rPr>
        <w:t>个城市热点覆盖，在</w:t>
      </w:r>
      <w:r>
        <w:rPr>
          <w:rFonts w:ascii="Times New Roman" w:hAnsi="Times New Roman" w:cs="Times New Roman"/>
          <w:kern w:val="2"/>
        </w:rPr>
        <w:t>n</w:t>
      </w:r>
      <w:r>
        <w:rPr>
          <w:rFonts w:hint="eastAsia" w:ascii="Times New Roman" w:hAnsi="Times New Roman" w:cs="Times New Roman"/>
          <w:kern w:val="2"/>
        </w:rPr>
        <w:t>个城市定制</w:t>
      </w:r>
      <w:r>
        <w:rPr>
          <w:rFonts w:ascii="Times New Roman" w:hAnsi="Times New Roman" w:cs="Times New Roman"/>
          <w:kern w:val="2"/>
        </w:rPr>
        <w:t>5G</w:t>
      </w:r>
      <w:r>
        <w:rPr>
          <w:rFonts w:hint="eastAsia" w:ascii="Times New Roman" w:hAnsi="Times New Roman" w:cs="Times New Roman"/>
          <w:kern w:val="2"/>
        </w:rPr>
        <w:t>网中专网，中国电信确定在全国</w:t>
      </w:r>
      <w:r>
        <w:rPr>
          <w:rFonts w:ascii="Times New Roman" w:hAnsi="Times New Roman" w:cs="Times New Roman"/>
          <w:kern w:val="2"/>
        </w:rPr>
        <w:t>40</w:t>
      </w:r>
      <w:r>
        <w:rPr>
          <w:rFonts w:hint="eastAsia" w:ascii="Times New Roman" w:hAnsi="Times New Roman" w:cs="Times New Roman"/>
          <w:kern w:val="2"/>
        </w:rPr>
        <w:t>个城市部署</w:t>
      </w:r>
      <w:r>
        <w:rPr>
          <w:rFonts w:ascii="Times New Roman" w:hAnsi="Times New Roman" w:cs="Times New Roman"/>
          <w:kern w:val="2"/>
        </w:rPr>
        <w:t>5G</w:t>
      </w:r>
      <w:r>
        <w:rPr>
          <w:rFonts w:hint="eastAsia" w:ascii="Times New Roman" w:hAnsi="Times New Roman" w:cs="Times New Roman"/>
          <w:kern w:val="2"/>
        </w:rPr>
        <w:t>提供商用服务。</w:t>
      </w:r>
    </w:p>
    <w:p>
      <w:pPr>
        <w:pStyle w:val="5"/>
      </w:pPr>
      <w:bookmarkStart w:id="155" w:name="_Toc56092758"/>
      <w:r>
        <w:t>5G</w:t>
      </w:r>
      <w:r>
        <w:rPr>
          <w:rFonts w:hint="eastAsia"/>
        </w:rPr>
        <w:t>是驱动梁平区经济高质量增长新引擎，有助于构建现代化产业新体系</w:t>
      </w:r>
      <w:bookmarkEnd w:id="155"/>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为代表的新一代信息通信技术创新，是驱动经济增长的主要引擎，并与云计算、大数据、人工智能、虚拟现实等技术的深度融合，带动高新科技、信息应用和服务、工业制造业等全链条、体系化的发展，是全球经济和科技竞争的战略制高点。</w:t>
      </w:r>
      <w:r>
        <w:rPr>
          <w:rFonts w:ascii="Times New Roman" w:hAnsi="Times New Roman" w:cs="Times New Roman"/>
          <w:kern w:val="2"/>
        </w:rPr>
        <w:t>5G</w:t>
      </w:r>
      <w:r>
        <w:rPr>
          <w:rFonts w:hint="eastAsia" w:ascii="Times New Roman" w:hAnsi="Times New Roman" w:cs="Times New Roman"/>
          <w:kern w:val="2"/>
        </w:rPr>
        <w:t>通过与大数据、人工智能、区块链等新技术和各垂直领域的融合，必将催生新产业、新业态和新模式的出现。近年来，梁平区坚定不移推进新型工业化，取得显著成效。清洁能源、新材料、装备制造、食品医药、信息技术等</w:t>
      </w:r>
      <w:r>
        <w:rPr>
          <w:rFonts w:ascii="Times New Roman" w:hAnsi="Times New Roman" w:cs="Times New Roman"/>
          <w:kern w:val="2"/>
        </w:rPr>
        <w:t>5</w:t>
      </w:r>
      <w:r>
        <w:rPr>
          <w:rFonts w:hint="eastAsia" w:ascii="Times New Roman" w:hAnsi="Times New Roman" w:cs="Times New Roman"/>
          <w:kern w:val="2"/>
        </w:rPr>
        <w:t>大产业呈现整体增长，借助</w:t>
      </w:r>
      <w:r>
        <w:rPr>
          <w:rFonts w:ascii="Times New Roman" w:hAnsi="Times New Roman" w:cs="Times New Roman"/>
          <w:kern w:val="2"/>
        </w:rPr>
        <w:t>5G</w:t>
      </w:r>
      <w:r>
        <w:rPr>
          <w:rFonts w:hint="eastAsia" w:ascii="Times New Roman" w:hAnsi="Times New Roman" w:cs="Times New Roman"/>
          <w:kern w:val="2"/>
        </w:rPr>
        <w:t>推动工业做大做强，质效做高做优，助力梁平特色现代化经济体系发展，促进经济高质量发展。</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智慧梁平，</w:t>
      </w:r>
      <w:r>
        <w:rPr>
          <w:rFonts w:ascii="Times New Roman" w:hAnsi="Times New Roman" w:cs="Times New Roman"/>
          <w:kern w:val="2"/>
        </w:rPr>
        <w:t>5G</w:t>
      </w:r>
      <w:r>
        <w:rPr>
          <w:rFonts w:hint="eastAsia" w:ascii="Times New Roman" w:hAnsi="Times New Roman" w:cs="Times New Roman"/>
          <w:kern w:val="2"/>
        </w:rPr>
        <w:t>先行。梁平区</w:t>
      </w:r>
      <w:r>
        <w:rPr>
          <w:rFonts w:ascii="Times New Roman" w:hAnsi="Times New Roman" w:cs="Times New Roman"/>
          <w:kern w:val="2"/>
        </w:rPr>
        <w:t>5G</w:t>
      </w:r>
      <w:r>
        <w:rPr>
          <w:rFonts w:hint="eastAsia" w:ascii="Times New Roman" w:hAnsi="Times New Roman" w:cs="Times New Roman"/>
          <w:kern w:val="2"/>
        </w:rPr>
        <w:t>实验网建成，依托于</w:t>
      </w:r>
      <w:r>
        <w:rPr>
          <w:rFonts w:ascii="Times New Roman" w:hAnsi="Times New Roman" w:cs="Times New Roman"/>
          <w:kern w:val="2"/>
        </w:rPr>
        <w:t>5G</w:t>
      </w:r>
      <w:r>
        <w:rPr>
          <w:rFonts w:hint="eastAsia" w:ascii="Times New Roman" w:hAnsi="Times New Roman" w:cs="Times New Roman"/>
          <w:kern w:val="2"/>
        </w:rPr>
        <w:t>试点建设应用，必将对梁平区实施以大数据智能化为引领的创新驱动发展战略行动计划起到极大的促进作用，对“智慧梁平”建设和创新应用锻造坚实的基础。</w:t>
      </w:r>
    </w:p>
    <w:p>
      <w:pPr>
        <w:pStyle w:val="3"/>
      </w:pPr>
      <w:bookmarkStart w:id="156" w:name="_Toc56092759"/>
      <w:r>
        <w:t>5G</w:t>
      </w:r>
      <w:r>
        <w:rPr>
          <w:rFonts w:hint="eastAsia"/>
        </w:rPr>
        <w:t>建设挑战</w:t>
      </w:r>
      <w:bookmarkEnd w:id="156"/>
    </w:p>
    <w:p>
      <w:pPr>
        <w:pStyle w:val="5"/>
        <w:numPr>
          <w:ilvl w:val="0"/>
          <w:numId w:val="32"/>
        </w:numPr>
      </w:pPr>
      <w:bookmarkStart w:id="157" w:name="_Toc56092760"/>
      <w:r>
        <w:rPr>
          <w:rFonts w:hint="eastAsia"/>
        </w:rPr>
        <w:t>现有站址数量不满足</w:t>
      </w:r>
      <w:r>
        <w:t>5G</w:t>
      </w:r>
      <w:r>
        <w:rPr>
          <w:rFonts w:hint="eastAsia"/>
        </w:rPr>
        <w:t>基站站址数量需求</w:t>
      </w:r>
      <w:bookmarkEnd w:id="157"/>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与</w:t>
      </w:r>
      <w:r>
        <w:rPr>
          <w:rFonts w:ascii="Times New Roman" w:hAnsi="Times New Roman" w:cs="Times New Roman"/>
          <w:kern w:val="2"/>
        </w:rPr>
        <w:t>4G</w:t>
      </w:r>
      <w:r>
        <w:rPr>
          <w:rFonts w:hint="eastAsia" w:ascii="Times New Roman" w:hAnsi="Times New Roman" w:cs="Times New Roman"/>
          <w:kern w:val="2"/>
        </w:rPr>
        <w:t>网络频段相比，</w:t>
      </w:r>
      <w:r>
        <w:rPr>
          <w:rFonts w:ascii="Times New Roman" w:hAnsi="Times New Roman" w:cs="Times New Roman"/>
          <w:kern w:val="2"/>
        </w:rPr>
        <w:t>5G</w:t>
      </w:r>
      <w:r>
        <w:rPr>
          <w:rFonts w:hint="eastAsia" w:ascii="Times New Roman" w:hAnsi="Times New Roman" w:cs="Times New Roman"/>
          <w:kern w:val="2"/>
        </w:rPr>
        <w:t>网络频段更高，传播损耗和穿透损耗更大，</w:t>
      </w:r>
      <w:r>
        <w:rPr>
          <w:rFonts w:ascii="Times New Roman" w:hAnsi="Times New Roman" w:cs="Times New Roman"/>
          <w:kern w:val="2"/>
        </w:rPr>
        <w:t>5G</w:t>
      </w:r>
      <w:r>
        <w:rPr>
          <w:rFonts w:hint="eastAsia" w:ascii="Times New Roman" w:hAnsi="Times New Roman" w:cs="Times New Roman"/>
          <w:kern w:val="2"/>
        </w:rPr>
        <w:t>基站覆盖半径更小，故</w:t>
      </w:r>
      <w:r>
        <w:rPr>
          <w:rFonts w:ascii="Times New Roman" w:hAnsi="Times New Roman" w:cs="Times New Roman"/>
          <w:kern w:val="2"/>
        </w:rPr>
        <w:t>5G</w:t>
      </w:r>
      <w:r>
        <w:rPr>
          <w:rFonts w:hint="eastAsia" w:ascii="Times New Roman" w:hAnsi="Times New Roman" w:cs="Times New Roman"/>
          <w:kern w:val="2"/>
        </w:rPr>
        <w:t>基站布局的密度增加，</w:t>
      </w:r>
      <w:r>
        <w:rPr>
          <w:rFonts w:ascii="Times New Roman" w:hAnsi="Times New Roman" w:cs="Times New Roman"/>
          <w:kern w:val="2"/>
        </w:rPr>
        <w:t>5G</w:t>
      </w:r>
      <w:r>
        <w:rPr>
          <w:rFonts w:hint="eastAsia" w:ascii="Times New Roman" w:hAnsi="Times New Roman" w:cs="Times New Roman"/>
          <w:kern w:val="2"/>
        </w:rPr>
        <w:t>基站站址数的需求量更大。现有的存量</w:t>
      </w:r>
      <w:r>
        <w:rPr>
          <w:rFonts w:ascii="Times New Roman" w:hAnsi="Times New Roman" w:cs="Times New Roman"/>
          <w:kern w:val="2"/>
        </w:rPr>
        <w:t>4G</w:t>
      </w:r>
      <w:r>
        <w:rPr>
          <w:rFonts w:hint="eastAsia" w:ascii="Times New Roman" w:hAnsi="Times New Roman" w:cs="Times New Roman"/>
          <w:kern w:val="2"/>
        </w:rPr>
        <w:t>站址数不能满足</w:t>
      </w:r>
      <w:r>
        <w:rPr>
          <w:rFonts w:ascii="Times New Roman" w:hAnsi="Times New Roman" w:cs="Times New Roman"/>
          <w:kern w:val="2"/>
        </w:rPr>
        <w:t>5G</w:t>
      </w:r>
      <w:r>
        <w:rPr>
          <w:rFonts w:hint="eastAsia" w:ascii="Times New Roman" w:hAnsi="Times New Roman" w:cs="Times New Roman"/>
          <w:kern w:val="2"/>
        </w:rPr>
        <w:t>站址的需求，因此规划新的通信站址势在必行。</w:t>
      </w:r>
    </w:p>
    <w:p>
      <w:pPr>
        <w:pStyle w:val="5"/>
      </w:pPr>
      <w:bookmarkStart w:id="158" w:name="_Toc56092761"/>
      <w:r>
        <w:rPr>
          <w:rFonts w:hint="eastAsia"/>
        </w:rPr>
        <w:t>现有站址配套设施能力不满足</w:t>
      </w:r>
      <w:r>
        <w:t>5G</w:t>
      </w:r>
      <w:r>
        <w:rPr>
          <w:rFonts w:hint="eastAsia"/>
        </w:rPr>
        <w:t>基站开通要求</w:t>
      </w:r>
      <w:bookmarkEnd w:id="158"/>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基站设备与现网</w:t>
      </w:r>
      <w:r>
        <w:rPr>
          <w:rFonts w:ascii="Times New Roman" w:hAnsi="Times New Roman" w:cs="Times New Roman"/>
          <w:kern w:val="2"/>
        </w:rPr>
        <w:t>4G</w:t>
      </w:r>
      <w:r>
        <w:rPr>
          <w:rFonts w:hint="eastAsia" w:ascii="Times New Roman" w:hAnsi="Times New Roman" w:cs="Times New Roman"/>
          <w:kern w:val="2"/>
        </w:rPr>
        <w:t>基站设备存在形态差异大、功耗大、重量重等特点。</w:t>
      </w:r>
      <w:r>
        <w:rPr>
          <w:rFonts w:ascii="Times New Roman" w:hAnsi="Times New Roman" w:cs="Times New Roman"/>
          <w:kern w:val="2"/>
        </w:rPr>
        <w:t>5G</w:t>
      </w:r>
      <w:r>
        <w:rPr>
          <w:rFonts w:hint="eastAsia" w:ascii="Times New Roman" w:hAnsi="Times New Roman" w:cs="Times New Roman"/>
          <w:kern w:val="2"/>
        </w:rPr>
        <w:t>基站对配套设施如电力引入容量、杆体物理空间等提出了更高的要求。</w:t>
      </w:r>
    </w:p>
    <w:p>
      <w:pPr>
        <w:pStyle w:val="8"/>
        <w:spacing w:before="48" w:after="48"/>
      </w:pPr>
      <w:r>
        <w:rPr>
          <w:rFonts w:hint="eastAsia"/>
        </w:rPr>
        <w:t>表</w:t>
      </w:r>
      <w:r>
        <w:t>3-1 5G</w:t>
      </w:r>
      <w:r>
        <w:rPr>
          <w:rFonts w:hint="eastAsia"/>
        </w:rPr>
        <w:t>基站设备参考参数</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5"/>
        <w:gridCol w:w="1267"/>
        <w:gridCol w:w="1476"/>
        <w:gridCol w:w="1476"/>
        <w:gridCol w:w="1477"/>
        <w:gridCol w:w="1477"/>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937" w:type="pct"/>
            <w:gridSpan w:val="2"/>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b/>
                <w:bCs/>
                <w:kern w:val="2"/>
                <w:sz w:val="22"/>
              </w:rPr>
              <w:t>主设备</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b/>
                <w:bCs/>
                <w:kern w:val="2"/>
                <w:sz w:val="22"/>
              </w:rPr>
              <w:t>中兴</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b/>
                <w:bCs/>
                <w:kern w:val="2"/>
                <w:sz w:val="22"/>
              </w:rPr>
              <w:t>华为</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b/>
                <w:bCs/>
                <w:kern w:val="2"/>
                <w:sz w:val="22"/>
              </w:rPr>
              <w:t>爱立信</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b/>
                <w:bCs/>
                <w:kern w:val="2"/>
                <w:sz w:val="22"/>
              </w:rPr>
              <w:t>诺基亚</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b/>
                <w:bCs/>
                <w:kern w:val="2"/>
                <w:sz w:val="22"/>
              </w:rPr>
              <w:t>传统</w:t>
            </w:r>
            <w:r>
              <w:rPr>
                <w:rFonts w:ascii="Times New Roman" w:hAnsi="Times New Roman" w:cs="Times New Roman"/>
                <w:b/>
                <w:bCs/>
                <w:kern w:val="2"/>
                <w:sz w:val="22"/>
              </w:rPr>
              <w:t>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DU/CU</w:t>
            </w:r>
            <w:r>
              <w:rPr>
                <w:rFonts w:hint="eastAsia" w:ascii="Times New Roman" w:hAnsi="Times New Roman" w:cs="Times New Roman"/>
                <w:kern w:val="2"/>
                <w:sz w:val="22"/>
              </w:rPr>
              <w:t>合设</w:t>
            </w: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尺寸</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88.4*482.6*370</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446*88*310</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446*134*350</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447*400*128</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446*88*310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重量</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18KG</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≤18Kg</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6.5kg~19.5k</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10.4kg~19.9kg</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6.75kg~8.75kg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供电方式</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典型功耗</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700W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483W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123W~380W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770W</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75W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最大功耗</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1700W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1643W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500W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1178W</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145W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AAU</w:t>
            </w: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尺寸</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880*450*145</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795*395*190</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810*400*200</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1110*480*185</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422*218*133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频段</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3.4GHz</w:t>
            </w:r>
            <w:r>
              <w:rPr>
                <w:rFonts w:hint="eastAsia" w:ascii="Times New Roman" w:hAnsi="Times New Roman" w:cs="Times New Roman"/>
                <w:kern w:val="2"/>
                <w:sz w:val="22"/>
              </w:rPr>
              <w:t>～</w:t>
            </w:r>
            <w:r>
              <w:rPr>
                <w:rFonts w:ascii="Times New Roman" w:hAnsi="Times New Roman" w:cs="Times New Roman"/>
                <w:kern w:val="2"/>
                <w:sz w:val="22"/>
              </w:rPr>
              <w:t>3.6GHz</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3.4GHz</w:t>
            </w:r>
            <w:r>
              <w:rPr>
                <w:rFonts w:hint="eastAsia" w:ascii="Times New Roman" w:hAnsi="Times New Roman" w:cs="Times New Roman"/>
                <w:kern w:val="2"/>
                <w:sz w:val="22"/>
              </w:rPr>
              <w:t>～</w:t>
            </w:r>
            <w:r>
              <w:rPr>
                <w:rFonts w:ascii="Times New Roman" w:hAnsi="Times New Roman" w:cs="Times New Roman"/>
                <w:kern w:val="2"/>
                <w:sz w:val="22"/>
              </w:rPr>
              <w:t>3.6GHz</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3.4GHz</w:t>
            </w:r>
            <w:r>
              <w:rPr>
                <w:rFonts w:hint="eastAsia" w:ascii="Times New Roman" w:hAnsi="Times New Roman" w:cs="Times New Roman"/>
                <w:kern w:val="2"/>
                <w:sz w:val="22"/>
              </w:rPr>
              <w:t>～</w:t>
            </w:r>
            <w:r>
              <w:rPr>
                <w:rFonts w:ascii="Times New Roman" w:hAnsi="Times New Roman" w:cs="Times New Roman"/>
                <w:kern w:val="2"/>
                <w:sz w:val="22"/>
              </w:rPr>
              <w:t>3.6GHz</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3.4GHz</w:t>
            </w:r>
            <w:r>
              <w:rPr>
                <w:rFonts w:hint="eastAsia" w:ascii="Times New Roman" w:hAnsi="Times New Roman" w:cs="Times New Roman"/>
                <w:kern w:val="2"/>
                <w:sz w:val="22"/>
              </w:rPr>
              <w:t>～</w:t>
            </w:r>
            <w:r>
              <w:rPr>
                <w:rFonts w:ascii="Times New Roman" w:hAnsi="Times New Roman" w:cs="Times New Roman"/>
                <w:kern w:val="2"/>
                <w:sz w:val="22"/>
              </w:rPr>
              <w:t>3.6GHz</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1800M/2100M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输出功率</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200W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200W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200W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200W</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2*60W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供电方式</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-48VDC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典型功耗</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700W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850W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&lt;1000W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1300W</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290W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最大功耗</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1400W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1000W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1300W</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1600W</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6" w:type="pct"/>
            <w:vMerge w:val="continue"/>
            <w:vAlign w:val="center"/>
          </w:tcPr>
          <w:p>
            <w:pPr>
              <w:widowControl w:val="0"/>
              <w:jc w:val="both"/>
              <w:rPr>
                <w:rFonts w:ascii="Times New Roman" w:hAnsi="Times New Roman" w:cs="Times New Roman"/>
                <w:kern w:val="2"/>
                <w:sz w:val="22"/>
              </w:rPr>
            </w:pPr>
          </w:p>
        </w:tc>
        <w:tc>
          <w:tcPr>
            <w:tcW w:w="701"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hint="eastAsia" w:ascii="Times New Roman" w:hAnsi="Times New Roman" w:cs="Times New Roman"/>
                <w:kern w:val="2"/>
                <w:sz w:val="22"/>
              </w:rPr>
              <w:t>重量</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40kg</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40kg</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&lt;47kg</w:t>
            </w:r>
          </w:p>
        </w:tc>
        <w:tc>
          <w:tcPr>
            <w:tcW w:w="813"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45kg</w:t>
            </w:r>
          </w:p>
        </w:tc>
        <w:tc>
          <w:tcPr>
            <w:tcW w:w="812" w:type="pct"/>
            <w:tcMar>
              <w:top w:w="15" w:type="dxa"/>
              <w:left w:w="15" w:type="dxa"/>
              <w:bottom w:w="0" w:type="dxa"/>
              <w:right w:w="15" w:type="dxa"/>
            </w:tcMar>
            <w:vAlign w:val="center"/>
          </w:tcPr>
          <w:p>
            <w:pPr>
              <w:widowControl w:val="0"/>
              <w:jc w:val="both"/>
              <w:rPr>
                <w:rFonts w:ascii="Times New Roman" w:hAnsi="Times New Roman" w:cs="Times New Roman"/>
                <w:kern w:val="2"/>
                <w:sz w:val="22"/>
              </w:rPr>
            </w:pPr>
            <w:r>
              <w:rPr>
                <w:rFonts w:ascii="Times New Roman" w:hAnsi="Times New Roman" w:cs="Times New Roman"/>
                <w:kern w:val="2"/>
                <w:sz w:val="22"/>
              </w:rPr>
              <w:t>15kg</w:t>
            </w:r>
          </w:p>
        </w:tc>
      </w:tr>
    </w:tbl>
    <w:p>
      <w:pPr>
        <w:widowControl w:val="0"/>
        <w:spacing w:line="360" w:lineRule="auto"/>
        <w:jc w:val="both"/>
        <w:rPr>
          <w:rFonts w:ascii="Times New Roman" w:hAnsi="Times New Roman" w:cs="Times New Roman"/>
          <w:kern w:val="2"/>
        </w:rPr>
      </w:pPr>
    </w:p>
    <w:p>
      <w:pPr>
        <w:pStyle w:val="8"/>
        <w:spacing w:before="48" w:after="48"/>
      </w:pPr>
      <w:r>
        <w:rPr>
          <w:rFonts w:hint="eastAsia"/>
        </w:rPr>
        <w:t>表</w:t>
      </w:r>
      <w:r>
        <w:t>3-2 5G</w:t>
      </w:r>
      <w:r>
        <w:rPr>
          <w:rFonts w:hint="eastAsia"/>
        </w:rPr>
        <w:t>基站设备与现网</w:t>
      </w:r>
      <w:r>
        <w:t>4G</w:t>
      </w:r>
      <w:r>
        <w:rPr>
          <w:rFonts w:hint="eastAsia"/>
        </w:rPr>
        <w:t>基站设备参数差异</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8"/>
        <w:gridCol w:w="1605"/>
        <w:gridCol w:w="775"/>
        <w:gridCol w:w="1037"/>
        <w:gridCol w:w="1687"/>
        <w:gridCol w:w="829"/>
        <w:gridCol w:w="981"/>
        <w:gridCol w:w="871"/>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458"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类型</w:t>
            </w:r>
          </w:p>
        </w:tc>
        <w:tc>
          <w:tcPr>
            <w:tcW w:w="857"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主流天线体积尺寸（</w:t>
            </w:r>
            <w:r>
              <w:rPr>
                <w:rFonts w:ascii="Times New Roman" w:hAnsi="Times New Roman" w:cs="Times New Roman"/>
                <w:b/>
                <w:bCs/>
                <w:kern w:val="2"/>
                <w:sz w:val="21"/>
                <w:szCs w:val="21"/>
              </w:rPr>
              <w:t>mm</w:t>
            </w:r>
            <w:r>
              <w:rPr>
                <w:rFonts w:hint="eastAsia" w:ascii="Times New Roman" w:hAnsi="Times New Roman" w:cs="Times New Roman"/>
                <w:b/>
                <w:bCs/>
                <w:kern w:val="2"/>
                <w:sz w:val="21"/>
                <w:szCs w:val="21"/>
              </w:rPr>
              <w:t>）</w:t>
            </w:r>
          </w:p>
        </w:tc>
        <w:tc>
          <w:tcPr>
            <w:tcW w:w="41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天线重量</w:t>
            </w:r>
            <w:r>
              <w:rPr>
                <w:rFonts w:ascii="Times New Roman" w:hAnsi="Times New Roman" w:cs="Times New Roman"/>
                <w:b/>
                <w:bCs/>
                <w:kern w:val="2"/>
                <w:sz w:val="21"/>
                <w:szCs w:val="21"/>
              </w:rPr>
              <w:t>(Kg)</w:t>
            </w:r>
          </w:p>
        </w:tc>
        <w:tc>
          <w:tcPr>
            <w:tcW w:w="55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天线挡风面积（㎡</w:t>
            </w:r>
            <w:r>
              <w:rPr>
                <w:rFonts w:ascii="Times New Roman" w:hAnsi="Times New Roman" w:cs="Times New Roman"/>
                <w:b/>
                <w:bCs/>
                <w:kern w:val="2"/>
                <w:sz w:val="21"/>
                <w:szCs w:val="21"/>
              </w:rPr>
              <w:t>)</w:t>
            </w:r>
          </w:p>
        </w:tc>
        <w:tc>
          <w:tcPr>
            <w:tcW w:w="901"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b/>
                <w:bCs/>
                <w:kern w:val="2"/>
                <w:sz w:val="21"/>
                <w:szCs w:val="21"/>
              </w:rPr>
              <w:t>RRU</w:t>
            </w:r>
            <w:r>
              <w:rPr>
                <w:rFonts w:hint="eastAsia" w:ascii="Times New Roman" w:hAnsi="Times New Roman" w:cs="Times New Roman"/>
                <w:b/>
                <w:bCs/>
                <w:kern w:val="2"/>
                <w:sz w:val="21"/>
                <w:szCs w:val="21"/>
              </w:rPr>
              <w:t>体积尺寸（</w:t>
            </w:r>
            <w:r>
              <w:rPr>
                <w:rFonts w:ascii="Times New Roman" w:hAnsi="Times New Roman" w:cs="Times New Roman"/>
                <w:b/>
                <w:bCs/>
                <w:kern w:val="2"/>
                <w:sz w:val="21"/>
                <w:szCs w:val="21"/>
              </w:rPr>
              <w:t>mm</w:t>
            </w:r>
            <w:r>
              <w:rPr>
                <w:rFonts w:hint="eastAsia" w:ascii="Times New Roman" w:hAnsi="Times New Roman" w:cs="Times New Roman"/>
                <w:b/>
                <w:bCs/>
                <w:kern w:val="2"/>
                <w:sz w:val="21"/>
                <w:szCs w:val="21"/>
              </w:rPr>
              <w:t>）</w:t>
            </w:r>
          </w:p>
        </w:tc>
        <w:tc>
          <w:tcPr>
            <w:tcW w:w="443"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b/>
                <w:bCs/>
                <w:kern w:val="2"/>
                <w:sz w:val="21"/>
                <w:szCs w:val="21"/>
              </w:rPr>
              <w:t>RRU</w:t>
            </w:r>
            <w:r>
              <w:rPr>
                <w:rFonts w:hint="eastAsia" w:ascii="Times New Roman" w:hAnsi="Times New Roman" w:cs="Times New Roman"/>
                <w:b/>
                <w:bCs/>
                <w:kern w:val="2"/>
                <w:sz w:val="21"/>
                <w:szCs w:val="21"/>
              </w:rPr>
              <w:t>重量</w:t>
            </w:r>
            <w:r>
              <w:rPr>
                <w:rFonts w:ascii="Times New Roman" w:hAnsi="Times New Roman" w:cs="Times New Roman"/>
                <w:b/>
                <w:bCs/>
                <w:kern w:val="2"/>
                <w:sz w:val="21"/>
                <w:szCs w:val="21"/>
              </w:rPr>
              <w:t>(Kg)</w:t>
            </w:r>
          </w:p>
        </w:tc>
        <w:tc>
          <w:tcPr>
            <w:tcW w:w="52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b/>
                <w:bCs/>
                <w:kern w:val="2"/>
                <w:sz w:val="21"/>
                <w:szCs w:val="21"/>
              </w:rPr>
              <w:t>RRU</w:t>
            </w:r>
            <w:r>
              <w:rPr>
                <w:rFonts w:hint="eastAsia" w:ascii="Times New Roman" w:hAnsi="Times New Roman" w:cs="Times New Roman"/>
                <w:b/>
                <w:bCs/>
                <w:kern w:val="2"/>
                <w:sz w:val="21"/>
                <w:szCs w:val="21"/>
              </w:rPr>
              <w:t>挡风面积（㎡</w:t>
            </w:r>
            <w:r>
              <w:rPr>
                <w:rFonts w:ascii="Times New Roman" w:hAnsi="Times New Roman" w:cs="Times New Roman"/>
                <w:b/>
                <w:bCs/>
                <w:kern w:val="2"/>
                <w:sz w:val="21"/>
                <w:szCs w:val="21"/>
              </w:rPr>
              <w:t>)</w:t>
            </w: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合计重量</w:t>
            </w:r>
            <w:r>
              <w:rPr>
                <w:rFonts w:ascii="Times New Roman" w:hAnsi="Times New Roman" w:cs="Times New Roman"/>
                <w:b/>
                <w:bCs/>
                <w:kern w:val="2"/>
                <w:sz w:val="21"/>
                <w:szCs w:val="21"/>
              </w:rPr>
              <w:t>(Kg)</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挡风面积（㎡</w:t>
            </w:r>
            <w:r>
              <w:rPr>
                <w:rFonts w:ascii="Times New Roman" w:hAnsi="Times New Roman" w:cs="Times New Roman"/>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58"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移动</w:t>
            </w:r>
            <w:r>
              <w:rPr>
                <w:rFonts w:ascii="Times New Roman" w:hAnsi="Times New Roman" w:cs="Times New Roman"/>
                <w:b/>
                <w:bCs/>
                <w:kern w:val="2"/>
                <w:sz w:val="21"/>
                <w:szCs w:val="21"/>
              </w:rPr>
              <w:t>4G</w:t>
            </w:r>
          </w:p>
        </w:tc>
        <w:tc>
          <w:tcPr>
            <w:tcW w:w="857"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1285×309×130</w:t>
            </w:r>
          </w:p>
        </w:tc>
        <w:tc>
          <w:tcPr>
            <w:tcW w:w="41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12</w:t>
            </w:r>
          </w:p>
        </w:tc>
        <w:tc>
          <w:tcPr>
            <w:tcW w:w="55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0.397</w:t>
            </w:r>
          </w:p>
        </w:tc>
        <w:tc>
          <w:tcPr>
            <w:tcW w:w="901"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400×300×100</w:t>
            </w:r>
          </w:p>
        </w:tc>
        <w:tc>
          <w:tcPr>
            <w:tcW w:w="443"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12</w:t>
            </w:r>
          </w:p>
        </w:tc>
        <w:tc>
          <w:tcPr>
            <w:tcW w:w="524"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0.120</w:t>
            </w: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24</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58" w:type="pct"/>
            <w:vMerge w:val="continue"/>
            <w:vAlign w:val="center"/>
          </w:tcPr>
          <w:p>
            <w:pPr>
              <w:widowControl w:val="0"/>
              <w:jc w:val="both"/>
              <w:rPr>
                <w:rFonts w:ascii="Times New Roman" w:hAnsi="Times New Roman" w:cs="Times New Roman"/>
                <w:kern w:val="2"/>
                <w:sz w:val="21"/>
                <w:szCs w:val="21"/>
              </w:rPr>
            </w:pPr>
          </w:p>
        </w:tc>
        <w:tc>
          <w:tcPr>
            <w:tcW w:w="857"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1650×320×145</w:t>
            </w:r>
          </w:p>
        </w:tc>
        <w:tc>
          <w:tcPr>
            <w:tcW w:w="41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22</w:t>
            </w:r>
          </w:p>
        </w:tc>
        <w:tc>
          <w:tcPr>
            <w:tcW w:w="55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0.528</w:t>
            </w:r>
          </w:p>
        </w:tc>
        <w:tc>
          <w:tcPr>
            <w:tcW w:w="901" w:type="pct"/>
            <w:vMerge w:val="continue"/>
            <w:vAlign w:val="center"/>
          </w:tcPr>
          <w:p>
            <w:pPr>
              <w:widowControl w:val="0"/>
              <w:jc w:val="both"/>
              <w:rPr>
                <w:rFonts w:ascii="Times New Roman" w:hAnsi="Times New Roman" w:cs="Times New Roman"/>
                <w:kern w:val="2"/>
                <w:sz w:val="21"/>
                <w:szCs w:val="21"/>
              </w:rPr>
            </w:pPr>
          </w:p>
        </w:tc>
        <w:tc>
          <w:tcPr>
            <w:tcW w:w="443" w:type="pct"/>
            <w:vMerge w:val="continue"/>
            <w:vAlign w:val="center"/>
          </w:tcPr>
          <w:p>
            <w:pPr>
              <w:widowControl w:val="0"/>
              <w:jc w:val="both"/>
              <w:rPr>
                <w:rFonts w:ascii="Times New Roman" w:hAnsi="Times New Roman" w:cs="Times New Roman"/>
                <w:kern w:val="2"/>
                <w:sz w:val="21"/>
                <w:szCs w:val="21"/>
              </w:rPr>
            </w:pPr>
          </w:p>
        </w:tc>
        <w:tc>
          <w:tcPr>
            <w:tcW w:w="524" w:type="pct"/>
            <w:vMerge w:val="continue"/>
            <w:vAlign w:val="center"/>
          </w:tcPr>
          <w:p>
            <w:pPr>
              <w:widowControl w:val="0"/>
              <w:jc w:val="both"/>
              <w:rPr>
                <w:rFonts w:ascii="Times New Roman" w:hAnsi="Times New Roman" w:cs="Times New Roman"/>
                <w:kern w:val="2"/>
                <w:sz w:val="21"/>
                <w:szCs w:val="21"/>
              </w:rPr>
            </w:pP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34</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58"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联通</w:t>
            </w:r>
            <w:r>
              <w:rPr>
                <w:rFonts w:ascii="Times New Roman" w:hAnsi="Times New Roman" w:cs="Times New Roman"/>
                <w:b/>
                <w:bCs/>
                <w:kern w:val="2"/>
                <w:sz w:val="21"/>
                <w:szCs w:val="21"/>
              </w:rPr>
              <w:t>4G</w:t>
            </w:r>
          </w:p>
        </w:tc>
        <w:tc>
          <w:tcPr>
            <w:tcW w:w="857"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1310×380×65</w:t>
            </w:r>
          </w:p>
        </w:tc>
        <w:tc>
          <w:tcPr>
            <w:tcW w:w="41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16.5</w:t>
            </w:r>
          </w:p>
        </w:tc>
        <w:tc>
          <w:tcPr>
            <w:tcW w:w="55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0.497</w:t>
            </w:r>
          </w:p>
        </w:tc>
        <w:tc>
          <w:tcPr>
            <w:tcW w:w="901"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400×300×100</w:t>
            </w:r>
          </w:p>
        </w:tc>
        <w:tc>
          <w:tcPr>
            <w:tcW w:w="443"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14</w:t>
            </w:r>
          </w:p>
        </w:tc>
        <w:tc>
          <w:tcPr>
            <w:tcW w:w="524"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0.120</w:t>
            </w: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21.5</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58" w:type="pct"/>
            <w:vMerge w:val="continue"/>
            <w:vAlign w:val="center"/>
          </w:tcPr>
          <w:p>
            <w:pPr>
              <w:widowControl w:val="0"/>
              <w:jc w:val="both"/>
              <w:rPr>
                <w:rFonts w:ascii="Times New Roman" w:hAnsi="Times New Roman" w:cs="Times New Roman"/>
                <w:kern w:val="2"/>
                <w:sz w:val="21"/>
                <w:szCs w:val="21"/>
              </w:rPr>
            </w:pPr>
          </w:p>
        </w:tc>
        <w:tc>
          <w:tcPr>
            <w:tcW w:w="857"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1310×265×86</w:t>
            </w:r>
          </w:p>
        </w:tc>
        <w:tc>
          <w:tcPr>
            <w:tcW w:w="41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14.5</w:t>
            </w:r>
          </w:p>
        </w:tc>
        <w:tc>
          <w:tcPr>
            <w:tcW w:w="55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0.347</w:t>
            </w:r>
          </w:p>
        </w:tc>
        <w:tc>
          <w:tcPr>
            <w:tcW w:w="901" w:type="pct"/>
            <w:vMerge w:val="continue"/>
            <w:vAlign w:val="center"/>
          </w:tcPr>
          <w:p>
            <w:pPr>
              <w:widowControl w:val="0"/>
              <w:jc w:val="both"/>
              <w:rPr>
                <w:rFonts w:ascii="Times New Roman" w:hAnsi="Times New Roman" w:cs="Times New Roman"/>
                <w:kern w:val="2"/>
                <w:sz w:val="21"/>
                <w:szCs w:val="21"/>
              </w:rPr>
            </w:pPr>
          </w:p>
        </w:tc>
        <w:tc>
          <w:tcPr>
            <w:tcW w:w="443" w:type="pct"/>
            <w:vMerge w:val="continue"/>
            <w:vAlign w:val="center"/>
          </w:tcPr>
          <w:p>
            <w:pPr>
              <w:widowControl w:val="0"/>
              <w:jc w:val="both"/>
              <w:rPr>
                <w:rFonts w:ascii="Times New Roman" w:hAnsi="Times New Roman" w:cs="Times New Roman"/>
                <w:kern w:val="2"/>
                <w:sz w:val="21"/>
                <w:szCs w:val="21"/>
              </w:rPr>
            </w:pPr>
          </w:p>
        </w:tc>
        <w:tc>
          <w:tcPr>
            <w:tcW w:w="524" w:type="pct"/>
            <w:vMerge w:val="continue"/>
            <w:vAlign w:val="center"/>
          </w:tcPr>
          <w:p>
            <w:pPr>
              <w:widowControl w:val="0"/>
              <w:jc w:val="both"/>
              <w:rPr>
                <w:rFonts w:ascii="Times New Roman" w:hAnsi="Times New Roman" w:cs="Times New Roman"/>
                <w:kern w:val="2"/>
                <w:sz w:val="21"/>
                <w:szCs w:val="21"/>
              </w:rPr>
            </w:pP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28.5</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58"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电信</w:t>
            </w:r>
            <w:r>
              <w:rPr>
                <w:rFonts w:ascii="Times New Roman" w:hAnsi="Times New Roman" w:cs="Times New Roman"/>
                <w:b/>
                <w:bCs/>
                <w:kern w:val="2"/>
                <w:sz w:val="21"/>
                <w:szCs w:val="21"/>
              </w:rPr>
              <w:t>4G</w:t>
            </w:r>
          </w:p>
        </w:tc>
        <w:tc>
          <w:tcPr>
            <w:tcW w:w="857"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1310×265×86</w:t>
            </w:r>
          </w:p>
        </w:tc>
        <w:tc>
          <w:tcPr>
            <w:tcW w:w="41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14.5</w:t>
            </w:r>
          </w:p>
        </w:tc>
        <w:tc>
          <w:tcPr>
            <w:tcW w:w="55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0.347</w:t>
            </w:r>
          </w:p>
        </w:tc>
        <w:tc>
          <w:tcPr>
            <w:tcW w:w="901"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400×300×100</w:t>
            </w:r>
          </w:p>
        </w:tc>
        <w:tc>
          <w:tcPr>
            <w:tcW w:w="443"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14</w:t>
            </w:r>
          </w:p>
        </w:tc>
        <w:tc>
          <w:tcPr>
            <w:tcW w:w="524" w:type="pct"/>
            <w:vMerge w:val="restar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0.120</w:t>
            </w: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28.5</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58" w:type="pct"/>
            <w:vMerge w:val="continue"/>
            <w:vAlign w:val="center"/>
          </w:tcPr>
          <w:p>
            <w:pPr>
              <w:widowControl w:val="0"/>
              <w:jc w:val="both"/>
              <w:rPr>
                <w:rFonts w:ascii="Times New Roman" w:hAnsi="Times New Roman" w:cs="Times New Roman"/>
                <w:kern w:val="2"/>
                <w:sz w:val="21"/>
                <w:szCs w:val="21"/>
              </w:rPr>
            </w:pPr>
          </w:p>
        </w:tc>
        <w:tc>
          <w:tcPr>
            <w:tcW w:w="857"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1515×265×145</w:t>
            </w:r>
          </w:p>
        </w:tc>
        <w:tc>
          <w:tcPr>
            <w:tcW w:w="41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19.2</w:t>
            </w:r>
          </w:p>
        </w:tc>
        <w:tc>
          <w:tcPr>
            <w:tcW w:w="55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0.401</w:t>
            </w:r>
          </w:p>
        </w:tc>
        <w:tc>
          <w:tcPr>
            <w:tcW w:w="901" w:type="pct"/>
            <w:vMerge w:val="continue"/>
            <w:vAlign w:val="center"/>
          </w:tcPr>
          <w:p>
            <w:pPr>
              <w:widowControl w:val="0"/>
              <w:jc w:val="both"/>
              <w:rPr>
                <w:rFonts w:ascii="Times New Roman" w:hAnsi="Times New Roman" w:cs="Times New Roman"/>
                <w:kern w:val="2"/>
                <w:sz w:val="21"/>
                <w:szCs w:val="21"/>
              </w:rPr>
            </w:pPr>
          </w:p>
        </w:tc>
        <w:tc>
          <w:tcPr>
            <w:tcW w:w="443" w:type="pct"/>
            <w:vMerge w:val="continue"/>
            <w:vAlign w:val="center"/>
          </w:tcPr>
          <w:p>
            <w:pPr>
              <w:widowControl w:val="0"/>
              <w:jc w:val="both"/>
              <w:rPr>
                <w:rFonts w:ascii="Times New Roman" w:hAnsi="Times New Roman" w:cs="Times New Roman"/>
                <w:kern w:val="2"/>
                <w:sz w:val="21"/>
                <w:szCs w:val="21"/>
              </w:rPr>
            </w:pPr>
          </w:p>
        </w:tc>
        <w:tc>
          <w:tcPr>
            <w:tcW w:w="524" w:type="pct"/>
            <w:vMerge w:val="continue"/>
            <w:vAlign w:val="center"/>
          </w:tcPr>
          <w:p>
            <w:pPr>
              <w:widowControl w:val="0"/>
              <w:jc w:val="both"/>
              <w:rPr>
                <w:rFonts w:ascii="Times New Roman" w:hAnsi="Times New Roman" w:cs="Times New Roman"/>
                <w:kern w:val="2"/>
                <w:sz w:val="21"/>
                <w:szCs w:val="21"/>
              </w:rPr>
            </w:pP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33.2</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58"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b/>
                <w:bCs/>
                <w:kern w:val="2"/>
                <w:sz w:val="21"/>
                <w:szCs w:val="21"/>
              </w:rPr>
              <w:t>5G AAU</w:t>
            </w:r>
          </w:p>
        </w:tc>
        <w:tc>
          <w:tcPr>
            <w:tcW w:w="3693" w:type="pct"/>
            <w:gridSpan w:val="6"/>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p>
        </w:tc>
        <w:tc>
          <w:tcPr>
            <w:tcW w:w="465"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45</w:t>
            </w:r>
          </w:p>
        </w:tc>
        <w:tc>
          <w:tcPr>
            <w:tcW w:w="384" w:type="pct"/>
            <w:tcMar>
              <w:top w:w="15" w:type="dxa"/>
              <w:left w:w="15" w:type="dxa"/>
              <w:bottom w:w="0" w:type="dxa"/>
              <w:right w:w="15" w:type="dxa"/>
            </w:tcMar>
            <w:vAlign w:val="center"/>
          </w:tcPr>
          <w:p>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0.438</w:t>
            </w:r>
          </w:p>
        </w:tc>
      </w:tr>
    </w:tbl>
    <w:p>
      <w:pPr>
        <w:widowControl w:val="0"/>
        <w:spacing w:line="360" w:lineRule="auto"/>
        <w:jc w:val="both"/>
        <w:rPr>
          <w:rFonts w:ascii="Times New Roman" w:hAnsi="Times New Roman" w:cs="Times New Roman"/>
          <w:kern w:val="2"/>
        </w:rPr>
      </w:pP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根据</w:t>
      </w:r>
      <w:r>
        <w:rPr>
          <w:rFonts w:ascii="Times New Roman" w:hAnsi="Times New Roman" w:cs="Times New Roman"/>
          <w:kern w:val="2"/>
        </w:rPr>
        <w:t>2018</w:t>
      </w:r>
      <w:r>
        <w:rPr>
          <w:rFonts w:hint="eastAsia" w:ascii="Times New Roman" w:hAnsi="Times New Roman" w:cs="Times New Roman"/>
          <w:kern w:val="2"/>
        </w:rPr>
        <w:t>年中国</w:t>
      </w:r>
      <w:r>
        <w:rPr>
          <w:rFonts w:ascii="Times New Roman" w:hAnsi="Times New Roman" w:cs="Times New Roman"/>
          <w:kern w:val="2"/>
        </w:rPr>
        <w:t>5G</w:t>
      </w:r>
      <w:r>
        <w:rPr>
          <w:rFonts w:hint="eastAsia" w:ascii="Times New Roman" w:hAnsi="Times New Roman" w:cs="Times New Roman"/>
          <w:kern w:val="2"/>
        </w:rPr>
        <w:t>试验网工勘</w:t>
      </w:r>
      <w:r>
        <w:rPr>
          <w:rFonts w:ascii="Times New Roman" w:hAnsi="Times New Roman" w:cs="Times New Roman"/>
          <w:kern w:val="2"/>
        </w:rPr>
        <w:t>904</w:t>
      </w:r>
      <w:r>
        <w:rPr>
          <w:rFonts w:hint="eastAsia" w:ascii="Times New Roman" w:hAnsi="Times New Roman" w:cs="Times New Roman"/>
          <w:kern w:val="2"/>
        </w:rPr>
        <w:t>站统计表明，</w:t>
      </w:r>
      <w:r>
        <w:rPr>
          <w:rFonts w:ascii="Times New Roman" w:hAnsi="Times New Roman" w:cs="Times New Roman"/>
          <w:kern w:val="2"/>
        </w:rPr>
        <w:t>AC</w:t>
      </w:r>
      <w:r>
        <w:rPr>
          <w:rFonts w:hint="eastAsia" w:ascii="Times New Roman" w:hAnsi="Times New Roman" w:cs="Times New Roman"/>
          <w:kern w:val="2"/>
        </w:rPr>
        <w:t>市电容量、电源电池容量、散热容量和负载配电容量是局限</w:t>
      </w:r>
      <w:r>
        <w:rPr>
          <w:rFonts w:ascii="Times New Roman" w:hAnsi="Times New Roman" w:cs="Times New Roman"/>
          <w:kern w:val="2"/>
        </w:rPr>
        <w:t>5G</w:t>
      </w:r>
      <w:r>
        <w:rPr>
          <w:rFonts w:hint="eastAsia" w:ascii="Times New Roman" w:hAnsi="Times New Roman" w:cs="Times New Roman"/>
          <w:kern w:val="2"/>
        </w:rPr>
        <w:t>基站共享</w:t>
      </w:r>
      <w:r>
        <w:rPr>
          <w:rFonts w:ascii="Times New Roman" w:hAnsi="Times New Roman" w:cs="Times New Roman"/>
          <w:kern w:val="2"/>
        </w:rPr>
        <w:t>4G</w:t>
      </w:r>
      <w:r>
        <w:rPr>
          <w:rFonts w:hint="eastAsia" w:ascii="Times New Roman" w:hAnsi="Times New Roman" w:cs="Times New Roman"/>
          <w:kern w:val="2"/>
        </w:rPr>
        <w:t>站址的最大瓶颈因素。结合</w:t>
      </w:r>
      <w:r>
        <w:rPr>
          <w:rFonts w:ascii="Times New Roman" w:hAnsi="Times New Roman" w:cs="Times New Roman"/>
          <w:kern w:val="2"/>
        </w:rPr>
        <w:t>5G</w:t>
      </w:r>
      <w:r>
        <w:rPr>
          <w:rFonts w:hint="eastAsia" w:ascii="Times New Roman" w:hAnsi="Times New Roman" w:cs="Times New Roman"/>
          <w:kern w:val="2"/>
        </w:rPr>
        <w:t>基站电气参数和现有站址容量能力分析，试验网</w:t>
      </w:r>
      <w:r>
        <w:rPr>
          <w:rFonts w:ascii="Times New Roman" w:hAnsi="Times New Roman" w:cs="Times New Roman"/>
          <w:kern w:val="2"/>
        </w:rPr>
        <w:t>904</w:t>
      </w:r>
      <w:r>
        <w:rPr>
          <w:rFonts w:hint="eastAsia" w:ascii="Times New Roman" w:hAnsi="Times New Roman" w:cs="Times New Roman"/>
          <w:kern w:val="2"/>
        </w:rPr>
        <w:t>站中，能够叠加一套</w:t>
      </w:r>
      <w:r>
        <w:rPr>
          <w:rFonts w:ascii="Times New Roman" w:hAnsi="Times New Roman" w:cs="Times New Roman"/>
          <w:kern w:val="2"/>
        </w:rPr>
        <w:t>5G</w:t>
      </w:r>
      <w:r>
        <w:rPr>
          <w:rFonts w:hint="eastAsia" w:ascii="Times New Roman" w:hAnsi="Times New Roman" w:cs="Times New Roman"/>
          <w:kern w:val="2"/>
        </w:rPr>
        <w:t>系统比例为</w:t>
      </w:r>
      <w:r>
        <w:rPr>
          <w:rFonts w:ascii="Times New Roman" w:hAnsi="Times New Roman" w:cs="Times New Roman"/>
          <w:kern w:val="2"/>
        </w:rPr>
        <w:t>29%</w:t>
      </w:r>
      <w:r>
        <w:rPr>
          <w:rFonts w:hint="eastAsia" w:ascii="Times New Roman" w:hAnsi="Times New Roman" w:cs="Times New Roman"/>
          <w:kern w:val="2"/>
        </w:rPr>
        <w:t>，能够叠加两套</w:t>
      </w:r>
      <w:r>
        <w:rPr>
          <w:rFonts w:ascii="Times New Roman" w:hAnsi="Times New Roman" w:cs="Times New Roman"/>
          <w:kern w:val="2"/>
        </w:rPr>
        <w:t>5G</w:t>
      </w:r>
      <w:r>
        <w:rPr>
          <w:rFonts w:hint="eastAsia" w:ascii="Times New Roman" w:hAnsi="Times New Roman" w:cs="Times New Roman"/>
          <w:kern w:val="2"/>
        </w:rPr>
        <w:t>系统不满足比例为</w:t>
      </w:r>
      <w:r>
        <w:rPr>
          <w:rFonts w:ascii="Times New Roman" w:hAnsi="Times New Roman" w:cs="Times New Roman"/>
          <w:kern w:val="2"/>
        </w:rPr>
        <w:t>12%</w:t>
      </w:r>
      <w:r>
        <w:rPr>
          <w:rFonts w:hint="eastAsia" w:ascii="Times New Roman" w:hAnsi="Times New Roman" w:cs="Times New Roman"/>
          <w:kern w:val="2"/>
        </w:rPr>
        <w:t>，能够叠加三套</w:t>
      </w:r>
      <w:r>
        <w:rPr>
          <w:rFonts w:ascii="Times New Roman" w:hAnsi="Times New Roman" w:cs="Times New Roman"/>
          <w:kern w:val="2"/>
        </w:rPr>
        <w:t>5G</w:t>
      </w:r>
      <w:r>
        <w:rPr>
          <w:rFonts w:hint="eastAsia" w:ascii="Times New Roman" w:hAnsi="Times New Roman" w:cs="Times New Roman"/>
          <w:kern w:val="2"/>
        </w:rPr>
        <w:t>系统比例为</w:t>
      </w:r>
      <w:r>
        <w:rPr>
          <w:rFonts w:ascii="Times New Roman" w:hAnsi="Times New Roman" w:cs="Times New Roman"/>
          <w:kern w:val="2"/>
        </w:rPr>
        <w:t>5%</w:t>
      </w:r>
      <w:r>
        <w:rPr>
          <w:rFonts w:hint="eastAsia" w:ascii="Times New Roman" w:hAnsi="Times New Roman" w:cs="Times New Roman"/>
          <w:kern w:val="2"/>
        </w:rPr>
        <w:t>。</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梁平区的基站站址也面临以上同样的挑战，充分改造利用现网站址是</w:t>
      </w:r>
      <w:r>
        <w:rPr>
          <w:rFonts w:ascii="Times New Roman" w:hAnsi="Times New Roman" w:cs="Times New Roman"/>
          <w:kern w:val="2"/>
        </w:rPr>
        <w:t>5G</w:t>
      </w:r>
      <w:r>
        <w:rPr>
          <w:rFonts w:hint="eastAsia" w:ascii="Times New Roman" w:hAnsi="Times New Roman" w:cs="Times New Roman"/>
          <w:kern w:val="2"/>
        </w:rPr>
        <w:t>建设的首选举措，规划科学合理的新建站址和储备社会杆体资源是夯实</w:t>
      </w:r>
      <w:r>
        <w:rPr>
          <w:rFonts w:ascii="Times New Roman" w:hAnsi="Times New Roman" w:cs="Times New Roman"/>
          <w:kern w:val="2"/>
        </w:rPr>
        <w:t>5G</w:t>
      </w:r>
      <w:r>
        <w:rPr>
          <w:rFonts w:hint="eastAsia" w:ascii="Times New Roman" w:hAnsi="Times New Roman" w:cs="Times New Roman"/>
          <w:kern w:val="2"/>
        </w:rPr>
        <w:t>建设基础的必须手段。</w:t>
      </w:r>
      <w:r>
        <w:rPr>
          <w:rFonts w:ascii="Times New Roman" w:hAnsi="Times New Roman" w:cs="Times New Roman"/>
          <w:kern w:val="2"/>
        </w:rPr>
        <w:br w:type="page"/>
      </w:r>
    </w:p>
    <w:p>
      <w:pPr>
        <w:pStyle w:val="2"/>
      </w:pPr>
      <w:bookmarkStart w:id="159" w:name="_Toc56092762"/>
      <w:r>
        <w:rPr>
          <w:rFonts w:hint="eastAsia"/>
        </w:rPr>
        <w:t>通信基础设施现状分析</w:t>
      </w:r>
      <w:bookmarkEnd w:id="159"/>
    </w:p>
    <w:p>
      <w:pPr>
        <w:pStyle w:val="3"/>
        <w:numPr>
          <w:ilvl w:val="0"/>
          <w:numId w:val="33"/>
        </w:numPr>
      </w:pPr>
      <w:bookmarkStart w:id="160" w:name="_Toc56092763"/>
      <w:r>
        <w:rPr>
          <w:rFonts w:hint="eastAsia"/>
        </w:rPr>
        <w:t>梁平通信业务发展现状综述</w:t>
      </w:r>
      <w:bookmarkEnd w:id="160"/>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近年来，梁平区大力推进国民经济和社会信息化，取得了显著成效。</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 xml:space="preserve">(1) </w:t>
      </w:r>
      <w:r>
        <w:rPr>
          <w:rFonts w:hint="eastAsia" w:ascii="Times New Roman" w:hAnsi="Times New Roman" w:cs="Times New Roman"/>
          <w:kern w:val="2"/>
        </w:rPr>
        <w:t>信息与通信网络等基础设施快速发展，服务水平不断提高。</w:t>
      </w:r>
    </w:p>
    <w:p>
      <w:pPr>
        <w:widowControl w:val="0"/>
        <w:snapToGrid w:val="0"/>
        <w:spacing w:line="360" w:lineRule="auto"/>
        <w:ind w:firstLine="480" w:firstLineChars="200"/>
        <w:contextualSpacing/>
        <w:jc w:val="both"/>
        <w:rPr>
          <w:rFonts w:ascii="Times New Roman" w:hAnsi="Times New Roman" w:cs="Times New Roman"/>
          <w:kern w:val="2"/>
        </w:rPr>
      </w:pPr>
      <w:bookmarkStart w:id="161" w:name="_Hlk23014233"/>
      <w:r>
        <w:rPr>
          <w:rFonts w:hint="eastAsia" w:ascii="Times New Roman" w:hAnsi="Times New Roman" w:cs="Times New Roman"/>
          <w:kern w:val="2"/>
        </w:rPr>
        <w:t>截至</w:t>
      </w:r>
      <w:r>
        <w:rPr>
          <w:rFonts w:ascii="Times New Roman" w:hAnsi="Times New Roman" w:cs="Times New Roman"/>
          <w:kern w:val="2"/>
        </w:rPr>
        <w:t>2019</w:t>
      </w:r>
      <w:r>
        <w:rPr>
          <w:rFonts w:hint="eastAsia" w:ascii="Times New Roman" w:hAnsi="Times New Roman" w:cs="Times New Roman"/>
          <w:kern w:val="2"/>
        </w:rPr>
        <w:t>年，梁平区固定电话用户（移动、电信、联通）</w:t>
      </w:r>
      <w:r>
        <w:rPr>
          <w:rFonts w:ascii="Times New Roman" w:hAnsi="Times New Roman" w:cs="Times New Roman"/>
          <w:kern w:val="2"/>
        </w:rPr>
        <w:t>10.12</w:t>
      </w:r>
      <w:r>
        <w:rPr>
          <w:rFonts w:hint="eastAsia" w:ascii="Times New Roman" w:hAnsi="Times New Roman" w:cs="Times New Roman"/>
          <w:kern w:val="2"/>
        </w:rPr>
        <w:t>万户，移动电话用户（移动、电信、联通）</w:t>
      </w:r>
      <w:r>
        <w:rPr>
          <w:rFonts w:ascii="Times New Roman" w:hAnsi="Times New Roman" w:cs="Times New Roman"/>
          <w:kern w:val="2"/>
        </w:rPr>
        <w:t>49.24</w:t>
      </w:r>
      <w:r>
        <w:rPr>
          <w:rFonts w:hint="eastAsia" w:ascii="Times New Roman" w:hAnsi="Times New Roman" w:cs="Times New Roman"/>
          <w:kern w:val="2"/>
        </w:rPr>
        <w:t>万户，增长</w:t>
      </w:r>
      <w:r>
        <w:rPr>
          <w:rFonts w:ascii="Times New Roman" w:hAnsi="Times New Roman" w:cs="Times New Roman"/>
          <w:kern w:val="2"/>
        </w:rPr>
        <w:t>11.1%</w:t>
      </w:r>
      <w:r>
        <w:rPr>
          <w:rFonts w:hint="eastAsia" w:ascii="Times New Roman" w:hAnsi="Times New Roman" w:cs="Times New Roman"/>
          <w:kern w:val="2"/>
        </w:rPr>
        <w:t>，互联网用户</w:t>
      </w:r>
      <w:r>
        <w:rPr>
          <w:rFonts w:ascii="Times New Roman" w:hAnsi="Times New Roman" w:cs="Times New Roman"/>
          <w:kern w:val="2"/>
        </w:rPr>
        <w:t>11.96</w:t>
      </w:r>
      <w:r>
        <w:rPr>
          <w:rFonts w:hint="eastAsia" w:ascii="Times New Roman" w:hAnsi="Times New Roman" w:cs="Times New Roman"/>
          <w:kern w:val="2"/>
        </w:rPr>
        <w:t>万户，增长</w:t>
      </w:r>
      <w:r>
        <w:rPr>
          <w:rFonts w:ascii="Times New Roman" w:hAnsi="Times New Roman" w:cs="Times New Roman"/>
          <w:kern w:val="2"/>
        </w:rPr>
        <w:t>42.7%</w:t>
      </w:r>
      <w:r>
        <w:rPr>
          <w:rFonts w:hint="eastAsia" w:ascii="Times New Roman" w:hAnsi="Times New Roman" w:cs="Times New Roman"/>
          <w:kern w:val="2"/>
        </w:rPr>
        <w:t>。</w:t>
      </w:r>
      <w:r>
        <w:rPr>
          <w:rFonts w:ascii="Times New Roman" w:hAnsi="Times New Roman" w:cs="Times New Roman"/>
          <w:kern w:val="2"/>
        </w:rPr>
        <w:t>2018</w:t>
      </w:r>
      <w:r>
        <w:rPr>
          <w:rFonts w:hint="eastAsia" w:ascii="Times New Roman" w:hAnsi="Times New Roman" w:cs="Times New Roman"/>
          <w:kern w:val="2"/>
        </w:rPr>
        <w:t>年梁平区广电通信业务收入</w:t>
      </w:r>
      <w:r>
        <w:rPr>
          <w:rFonts w:ascii="Times New Roman" w:hAnsi="Times New Roman" w:cs="Times New Roman"/>
          <w:kern w:val="2"/>
        </w:rPr>
        <w:t>3152</w:t>
      </w:r>
      <w:r>
        <w:rPr>
          <w:rFonts w:hint="eastAsia" w:ascii="Times New Roman" w:hAnsi="Times New Roman" w:cs="Times New Roman"/>
          <w:kern w:val="2"/>
        </w:rPr>
        <w:t>万元，截止到</w:t>
      </w:r>
      <w:r>
        <w:rPr>
          <w:rFonts w:ascii="Times New Roman" w:hAnsi="Times New Roman" w:cs="Times New Roman"/>
          <w:kern w:val="2"/>
        </w:rPr>
        <w:t>2019</w:t>
      </w:r>
      <w:r>
        <w:rPr>
          <w:rFonts w:hint="eastAsia" w:ascii="Times New Roman" w:hAnsi="Times New Roman" w:cs="Times New Roman"/>
          <w:kern w:val="2"/>
        </w:rPr>
        <w:t>年底，广电互联网用户达</w:t>
      </w:r>
      <w:r>
        <w:rPr>
          <w:rFonts w:ascii="Times New Roman" w:hAnsi="Times New Roman" w:cs="Times New Roman"/>
          <w:kern w:val="2"/>
        </w:rPr>
        <w:t>11.30</w:t>
      </w:r>
      <w:r>
        <w:rPr>
          <w:rFonts w:hint="eastAsia" w:ascii="Times New Roman" w:hAnsi="Times New Roman" w:cs="Times New Roman"/>
          <w:kern w:val="2"/>
        </w:rPr>
        <w:t>万户</w:t>
      </w:r>
      <w:bookmarkEnd w:id="161"/>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w:t>
      </w:r>
      <w:r>
        <w:rPr>
          <w:rFonts w:hint="eastAsia" w:ascii="Times New Roman" w:hAnsi="Times New Roman" w:cs="Times New Roman"/>
          <w:kern w:val="2"/>
        </w:rPr>
        <w:t>十三五</w:t>
      </w:r>
      <w:r>
        <w:rPr>
          <w:rFonts w:ascii="Times New Roman" w:hAnsi="Times New Roman" w:cs="Times New Roman"/>
          <w:kern w:val="2"/>
        </w:rPr>
        <w:t>”</w:t>
      </w:r>
      <w:r>
        <w:rPr>
          <w:rFonts w:hint="eastAsia" w:ascii="Times New Roman" w:hAnsi="Times New Roman" w:cs="Times New Roman"/>
          <w:kern w:val="2"/>
        </w:rPr>
        <w:t>期间，除固定电话用户外，主要指标均取得了较快发展。固定电话网覆盖了全区所有行政村；电信、移动和联通三大电信运营商进行了大规模的</w:t>
      </w:r>
      <w:r>
        <w:rPr>
          <w:rFonts w:ascii="Times New Roman" w:hAnsi="Times New Roman" w:cs="Times New Roman"/>
          <w:kern w:val="2"/>
        </w:rPr>
        <w:t>3/4G</w:t>
      </w:r>
      <w:r>
        <w:rPr>
          <w:rFonts w:hint="eastAsia" w:ascii="Times New Roman" w:hAnsi="Times New Roman" w:cs="Times New Roman"/>
          <w:kern w:val="2"/>
        </w:rPr>
        <w:t>网络建设，不断提高网络通信能力。</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 xml:space="preserve">(2) </w:t>
      </w:r>
      <w:r>
        <w:rPr>
          <w:rFonts w:hint="eastAsia" w:ascii="Times New Roman" w:hAnsi="Times New Roman" w:cs="Times New Roman"/>
          <w:kern w:val="2"/>
        </w:rPr>
        <w:t>信息与通信服务业务成为梁平区经济发展的重要组成部分。</w:t>
      </w:r>
    </w:p>
    <w:p>
      <w:pPr>
        <w:widowControl w:val="0"/>
        <w:snapToGrid w:val="0"/>
        <w:spacing w:line="360" w:lineRule="auto"/>
        <w:ind w:firstLine="480" w:firstLineChars="200"/>
        <w:contextualSpacing/>
        <w:jc w:val="both"/>
        <w:rPr>
          <w:rFonts w:ascii="Times New Roman" w:hAnsi="Times New Roman" w:cs="Times New Roman"/>
          <w:kern w:val="2"/>
        </w:rPr>
      </w:pPr>
      <w:bookmarkStart w:id="162" w:name="_Hlk23014215"/>
      <w:r>
        <w:rPr>
          <w:rFonts w:ascii="Times New Roman" w:hAnsi="Times New Roman" w:cs="Times New Roman"/>
          <w:kern w:val="2"/>
        </w:rPr>
        <w:t>2019</w:t>
      </w:r>
      <w:r>
        <w:rPr>
          <w:rFonts w:hint="eastAsia" w:ascii="Times New Roman" w:hAnsi="Times New Roman" w:cs="Times New Roman"/>
          <w:kern w:val="2"/>
        </w:rPr>
        <w:t>年，梁平区电信营业收入达</w:t>
      </w:r>
      <w:r>
        <w:rPr>
          <w:rFonts w:ascii="Times New Roman" w:hAnsi="Times New Roman" w:cs="Times New Roman"/>
          <w:kern w:val="2"/>
        </w:rPr>
        <w:t>2.7</w:t>
      </w:r>
      <w:r>
        <w:rPr>
          <w:rFonts w:hint="eastAsia" w:ascii="Times New Roman" w:hAnsi="Times New Roman" w:cs="Times New Roman"/>
          <w:kern w:val="2"/>
        </w:rPr>
        <w:t>亿元，增长</w:t>
      </w:r>
      <w:r>
        <w:rPr>
          <w:rFonts w:ascii="Times New Roman" w:hAnsi="Times New Roman" w:cs="Times New Roman"/>
          <w:kern w:val="2"/>
        </w:rPr>
        <w:t>16.7%</w:t>
      </w:r>
      <w:r>
        <w:rPr>
          <w:rFonts w:hint="eastAsia" w:ascii="Times New Roman" w:hAnsi="Times New Roman" w:cs="Times New Roman"/>
          <w:kern w:val="2"/>
        </w:rPr>
        <w:t>，成为梁平区经济发展的重要组成部分。</w:t>
      </w:r>
    </w:p>
    <w:bookmarkEnd w:id="162"/>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梁平区主要信息与通信业务发展情况如下表</w:t>
      </w:r>
      <w:r>
        <w:rPr>
          <w:rFonts w:ascii="Times New Roman" w:hAnsi="Times New Roman" w:cs="Times New Roman"/>
          <w:kern w:val="2"/>
        </w:rPr>
        <w:t>4.1-1</w:t>
      </w:r>
      <w:r>
        <w:rPr>
          <w:rFonts w:hint="eastAsia" w:ascii="Times New Roman" w:hAnsi="Times New Roman" w:cs="Times New Roman"/>
          <w:kern w:val="2"/>
        </w:rPr>
        <w:t>所示：</w:t>
      </w:r>
    </w:p>
    <w:p>
      <w:pPr>
        <w:pStyle w:val="8"/>
        <w:spacing w:before="48" w:after="48"/>
      </w:pPr>
      <w:r>
        <w:rPr>
          <w:rFonts w:hint="eastAsia"/>
        </w:rPr>
        <w:t>表</w:t>
      </w:r>
      <w:r>
        <w:t xml:space="preserve">4-1 </w:t>
      </w:r>
      <w:r>
        <w:rPr>
          <w:rFonts w:hint="eastAsia"/>
        </w:rPr>
        <w:t>梁平区信息与通信业务发展概况表</w:t>
      </w:r>
    </w:p>
    <w:tbl>
      <w:tblPr>
        <w:tblStyle w:val="30"/>
        <w:tblW w:w="9440" w:type="dxa"/>
        <w:tblInd w:w="108" w:type="dxa"/>
        <w:tblLayout w:type="autofit"/>
        <w:tblCellMar>
          <w:top w:w="0" w:type="dxa"/>
          <w:left w:w="108" w:type="dxa"/>
          <w:bottom w:w="0" w:type="dxa"/>
          <w:right w:w="108" w:type="dxa"/>
        </w:tblCellMar>
      </w:tblPr>
      <w:tblGrid>
        <w:gridCol w:w="1276"/>
        <w:gridCol w:w="4215"/>
        <w:gridCol w:w="2430"/>
        <w:gridCol w:w="1519"/>
      </w:tblGrid>
      <w:tr>
        <w:tblPrEx>
          <w:tblCellMar>
            <w:top w:w="0" w:type="dxa"/>
            <w:left w:w="108" w:type="dxa"/>
            <w:bottom w:w="0" w:type="dxa"/>
            <w:right w:w="108" w:type="dxa"/>
          </w:tblCellMar>
        </w:tblPrEx>
        <w:trPr>
          <w:trHeight w:val="285" w:hRule="atLeast"/>
        </w:trPr>
        <w:tc>
          <w:tcPr>
            <w:tcW w:w="0" w:type="auto"/>
            <w:tcBorders>
              <w:top w:val="single" w:color="auto" w:sz="8" w:space="0"/>
              <w:left w:val="single" w:color="auto" w:sz="8" w:space="0"/>
              <w:bottom w:val="single" w:color="auto" w:sz="8" w:space="0"/>
              <w:right w:val="single" w:color="auto" w:sz="8" w:space="0"/>
            </w:tcBorders>
            <w:noWrap/>
            <w:vAlign w:val="center"/>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color w:val="000000"/>
                <w:sz w:val="21"/>
                <w:szCs w:val="21"/>
              </w:rPr>
              <w:t>序号</w:t>
            </w:r>
          </w:p>
        </w:tc>
        <w:tc>
          <w:tcPr>
            <w:tcW w:w="0" w:type="auto"/>
            <w:tcBorders>
              <w:top w:val="single" w:color="auto" w:sz="8" w:space="0"/>
              <w:left w:val="nil"/>
              <w:bottom w:val="single" w:color="auto" w:sz="8" w:space="0"/>
              <w:right w:val="single" w:color="auto" w:sz="8" w:space="0"/>
            </w:tcBorders>
            <w:noWrap/>
            <w:vAlign w:val="center"/>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color w:val="000000"/>
                <w:sz w:val="21"/>
                <w:szCs w:val="21"/>
              </w:rPr>
              <w:t>指标名称</w:t>
            </w:r>
          </w:p>
        </w:tc>
        <w:tc>
          <w:tcPr>
            <w:tcW w:w="0" w:type="auto"/>
            <w:tcBorders>
              <w:top w:val="single" w:color="auto" w:sz="8" w:space="0"/>
              <w:left w:val="nil"/>
              <w:bottom w:val="single" w:color="auto" w:sz="8" w:space="0"/>
              <w:right w:val="single" w:color="auto" w:sz="8" w:space="0"/>
            </w:tcBorders>
            <w:noWrap/>
            <w:vAlign w:val="center"/>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color w:val="000000"/>
                <w:sz w:val="21"/>
                <w:szCs w:val="21"/>
              </w:rPr>
              <w:t>数量</w:t>
            </w:r>
          </w:p>
        </w:tc>
        <w:tc>
          <w:tcPr>
            <w:tcW w:w="0" w:type="auto"/>
            <w:tcBorders>
              <w:top w:val="single" w:color="auto" w:sz="8" w:space="0"/>
              <w:left w:val="nil"/>
              <w:bottom w:val="single" w:color="auto" w:sz="8" w:space="0"/>
              <w:right w:val="single" w:color="auto" w:sz="8" w:space="0"/>
            </w:tcBorders>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color w:val="000000"/>
                <w:sz w:val="21"/>
                <w:szCs w:val="21"/>
              </w:rPr>
              <w:t>增长</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电信营业收入</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27052</w:t>
            </w:r>
            <w:r>
              <w:rPr>
                <w:rFonts w:hint="eastAsia" w:ascii="Times New Roman" w:hAnsi="Times New Roman" w:cs="Times New Roman"/>
                <w:color w:val="000000"/>
                <w:sz w:val="21"/>
                <w:szCs w:val="21"/>
              </w:rPr>
              <w:t>万元</w:t>
            </w:r>
          </w:p>
        </w:tc>
        <w:tc>
          <w:tcPr>
            <w:tcW w:w="0" w:type="auto"/>
            <w:tcBorders>
              <w:top w:val="nil"/>
              <w:left w:val="nil"/>
              <w:bottom w:val="single" w:color="auto" w:sz="8" w:space="0"/>
              <w:right w:val="single" w:color="auto" w:sz="8" w:space="0"/>
            </w:tcBorders>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56.7%</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互联网宽带用户数</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11.96</w:t>
            </w:r>
            <w:r>
              <w:rPr>
                <w:rFonts w:hint="eastAsia" w:ascii="Times New Roman" w:hAnsi="Times New Roman" w:cs="Times New Roman"/>
                <w:color w:val="000000"/>
                <w:sz w:val="21"/>
                <w:szCs w:val="21"/>
              </w:rPr>
              <w:t>万户</w:t>
            </w:r>
          </w:p>
        </w:tc>
        <w:tc>
          <w:tcPr>
            <w:tcW w:w="0" w:type="auto"/>
            <w:tcBorders>
              <w:top w:val="nil"/>
              <w:left w:val="nil"/>
              <w:bottom w:val="single" w:color="auto" w:sz="8" w:space="0"/>
              <w:right w:val="single" w:color="auto" w:sz="8" w:space="0"/>
            </w:tcBorders>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9.40%</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其中固定电话用户数</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10.1</w:t>
            </w:r>
            <w:r>
              <w:rPr>
                <w:rFonts w:hint="eastAsia" w:ascii="Times New Roman" w:hAnsi="Times New Roman" w:cs="Times New Roman"/>
                <w:color w:val="000000"/>
                <w:sz w:val="21"/>
                <w:szCs w:val="21"/>
              </w:rPr>
              <w:t>万户</w:t>
            </w:r>
          </w:p>
        </w:tc>
        <w:tc>
          <w:tcPr>
            <w:tcW w:w="0" w:type="auto"/>
            <w:tcBorders>
              <w:top w:val="nil"/>
              <w:left w:val="nil"/>
              <w:bottom w:val="single" w:color="auto" w:sz="8" w:space="0"/>
              <w:right w:val="single" w:color="auto" w:sz="8" w:space="0"/>
            </w:tcBorders>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29.3%</w:t>
            </w:r>
          </w:p>
        </w:tc>
      </w:tr>
      <w:tr>
        <w:trPr>
          <w:trHeight w:val="285" w:hRule="atLeast"/>
        </w:trPr>
        <w:tc>
          <w:tcPr>
            <w:tcW w:w="0" w:type="auto"/>
            <w:tcBorders>
              <w:top w:val="nil"/>
              <w:left w:val="single" w:color="auto" w:sz="8" w:space="0"/>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其中移动电话用户数</w:t>
            </w:r>
          </w:p>
        </w:tc>
        <w:tc>
          <w:tcPr>
            <w:tcW w:w="0" w:type="auto"/>
            <w:tcBorders>
              <w:top w:val="nil"/>
              <w:left w:val="nil"/>
              <w:bottom w:val="single" w:color="auto" w:sz="8" w:space="0"/>
              <w:right w:val="single" w:color="auto" w:sz="8"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49.24</w:t>
            </w:r>
            <w:r>
              <w:rPr>
                <w:rFonts w:hint="eastAsia" w:ascii="Times New Roman" w:hAnsi="Times New Roman" w:cs="Times New Roman"/>
                <w:color w:val="000000"/>
                <w:sz w:val="21"/>
                <w:szCs w:val="21"/>
              </w:rPr>
              <w:t>万户</w:t>
            </w:r>
          </w:p>
        </w:tc>
        <w:tc>
          <w:tcPr>
            <w:tcW w:w="0" w:type="auto"/>
            <w:tcBorders>
              <w:top w:val="nil"/>
              <w:left w:val="nil"/>
              <w:bottom w:val="single" w:color="auto" w:sz="8" w:space="0"/>
              <w:right w:val="single" w:color="auto" w:sz="8" w:space="0"/>
            </w:tcBorders>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11.1%</w:t>
            </w:r>
          </w:p>
        </w:tc>
      </w:tr>
    </w:tbl>
    <w:p>
      <w:pPr>
        <w:widowControl w:val="0"/>
        <w:snapToGrid w:val="0"/>
        <w:spacing w:line="360" w:lineRule="auto"/>
        <w:contextualSpacing/>
        <w:jc w:val="both"/>
        <w:rPr>
          <w:rFonts w:ascii="Times New Roman" w:hAnsi="Times New Roman" w:cs="Times New Roman"/>
          <w:kern w:val="2"/>
        </w:rPr>
      </w:pPr>
    </w:p>
    <w:p>
      <w:pPr>
        <w:pStyle w:val="5"/>
        <w:numPr>
          <w:ilvl w:val="0"/>
          <w:numId w:val="34"/>
        </w:numPr>
      </w:pPr>
      <w:bookmarkStart w:id="163" w:name="_Toc56092764"/>
      <w:bookmarkStart w:id="164" w:name="_Toc462760529"/>
      <w:bookmarkStart w:id="165" w:name="_Toc423011052"/>
      <w:r>
        <w:rPr>
          <w:rFonts w:hint="eastAsia"/>
        </w:rPr>
        <w:t>梁平通信基站现状</w:t>
      </w:r>
      <w:bookmarkEnd w:id="163"/>
      <w:bookmarkEnd w:id="164"/>
      <w:bookmarkEnd w:id="165"/>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截止</w:t>
      </w:r>
      <w:r>
        <w:rPr>
          <w:rFonts w:ascii="Times New Roman" w:hAnsi="Times New Roman" w:cs="Times New Roman"/>
          <w:kern w:val="2"/>
        </w:rPr>
        <w:t>2019</w:t>
      </w:r>
      <w:r>
        <w:rPr>
          <w:rFonts w:hint="eastAsia" w:ascii="Times New Roman" w:hAnsi="Times New Roman" w:cs="Times New Roman"/>
          <w:kern w:val="2"/>
        </w:rPr>
        <w:t>年</w:t>
      </w:r>
      <w:r>
        <w:rPr>
          <w:rFonts w:ascii="Times New Roman" w:hAnsi="Times New Roman" w:cs="Times New Roman"/>
          <w:kern w:val="2"/>
        </w:rPr>
        <w:t>4</w:t>
      </w:r>
      <w:r>
        <w:rPr>
          <w:rFonts w:hint="eastAsia" w:ascii="Times New Roman" w:hAnsi="Times New Roman" w:cs="Times New Roman"/>
          <w:kern w:val="2"/>
        </w:rPr>
        <w:t>月，梁平区已建成投运的物理基站总数有</w:t>
      </w:r>
      <w:r>
        <w:rPr>
          <w:rFonts w:ascii="等线" w:hAnsi="等线" w:eastAsia="等线" w:cs="Times New Roman"/>
          <w:kern w:val="2"/>
        </w:rPr>
        <w:t>1215</w:t>
      </w:r>
      <w:r>
        <w:rPr>
          <w:rFonts w:hint="eastAsia" w:ascii="Times New Roman" w:hAnsi="Times New Roman" w:cs="Times New Roman"/>
          <w:kern w:val="2"/>
        </w:rPr>
        <w:t>个，其中梁平中心城区物理基站总数为</w:t>
      </w:r>
      <w:r>
        <w:rPr>
          <w:rFonts w:ascii="Times New Roman" w:hAnsi="Times New Roman" w:cs="Times New Roman"/>
          <w:kern w:val="2"/>
        </w:rPr>
        <w:t>335</w:t>
      </w:r>
      <w:r>
        <w:rPr>
          <w:rFonts w:hint="eastAsia" w:ascii="Times New Roman" w:hAnsi="Times New Roman" w:cs="Times New Roman"/>
          <w:kern w:val="2"/>
        </w:rPr>
        <w:t>个，站址分布详见规划示意图。梁平中心城区的物理基站平均站间距约</w:t>
      </w:r>
      <w:r>
        <w:rPr>
          <w:rFonts w:ascii="Times New Roman" w:hAnsi="Times New Roman" w:cs="Times New Roman"/>
          <w:kern w:val="2"/>
        </w:rPr>
        <w:t>300</w:t>
      </w:r>
      <w:r>
        <w:rPr>
          <w:rFonts w:hint="eastAsia" w:ascii="Times New Roman" w:hAnsi="Times New Roman" w:cs="Times New Roman"/>
          <w:kern w:val="2"/>
        </w:rPr>
        <w:t>米左右，其他场景的物理基站站间距大于梁平中心城区的物理基站站间距。结合</w:t>
      </w:r>
      <w:r>
        <w:rPr>
          <w:rFonts w:ascii="Times New Roman" w:hAnsi="Times New Roman" w:cs="Times New Roman"/>
          <w:kern w:val="2"/>
        </w:rPr>
        <w:t>5G</w:t>
      </w:r>
      <w:r>
        <w:rPr>
          <w:rFonts w:hint="eastAsia" w:ascii="Times New Roman" w:hAnsi="Times New Roman" w:cs="Times New Roman"/>
          <w:kern w:val="2"/>
        </w:rPr>
        <w:t>网络频段影响，现网基站的站址数远不能满足</w:t>
      </w:r>
      <w:r>
        <w:rPr>
          <w:rFonts w:ascii="Times New Roman" w:hAnsi="Times New Roman" w:cs="Times New Roman"/>
          <w:kern w:val="2"/>
        </w:rPr>
        <w:t>5G</w:t>
      </w:r>
      <w:r>
        <w:rPr>
          <w:rFonts w:hint="eastAsia" w:ascii="Times New Roman" w:hAnsi="Times New Roman" w:cs="Times New Roman"/>
          <w:kern w:val="2"/>
        </w:rPr>
        <w:t>网络的需求。</w:t>
      </w:r>
    </w:p>
    <w:p>
      <w:pPr>
        <w:pStyle w:val="5"/>
      </w:pPr>
      <w:bookmarkStart w:id="166" w:name="_Toc56092765"/>
      <w:r>
        <w:rPr>
          <w:rFonts w:hint="eastAsia"/>
        </w:rPr>
        <w:t>梁平通信接入机房现状</w:t>
      </w:r>
      <w:bookmarkEnd w:id="166"/>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梁平区区域内现有</w:t>
      </w:r>
      <w:r>
        <w:rPr>
          <w:rFonts w:ascii="Times New Roman" w:hAnsi="Times New Roman" w:cs="Times New Roman"/>
          <w:kern w:val="2"/>
        </w:rPr>
        <w:t>6</w:t>
      </w:r>
      <w:r>
        <w:rPr>
          <w:rFonts w:hint="eastAsia" w:ascii="Times New Roman" w:hAnsi="Times New Roman" w:cs="Times New Roman"/>
          <w:kern w:val="2"/>
        </w:rPr>
        <w:t>个核心机房，</w:t>
      </w:r>
      <w:r>
        <w:rPr>
          <w:rFonts w:ascii="Times New Roman" w:hAnsi="Times New Roman" w:cs="Times New Roman"/>
          <w:kern w:val="2"/>
        </w:rPr>
        <w:t>51</w:t>
      </w:r>
      <w:r>
        <w:rPr>
          <w:rFonts w:hint="eastAsia" w:ascii="Times New Roman" w:hAnsi="Times New Roman" w:cs="Times New Roman"/>
          <w:kern w:val="2"/>
        </w:rPr>
        <w:t>个汇聚机房及</w:t>
      </w:r>
      <w:r>
        <w:rPr>
          <w:rFonts w:ascii="Times New Roman" w:hAnsi="Times New Roman" w:cs="Times New Roman"/>
          <w:kern w:val="2"/>
        </w:rPr>
        <w:t>381</w:t>
      </w:r>
      <w:r>
        <w:rPr>
          <w:rFonts w:hint="eastAsia" w:ascii="Times New Roman" w:hAnsi="Times New Roman" w:cs="Times New Roman"/>
          <w:kern w:val="2"/>
        </w:rPr>
        <w:t>个综合接入网机房，分布在梁平区主城区及各大乡镇，现状区域内通信机房覆盖能力普遍比较充足，区域内分布较均匀，机房配置合理、通信设施间比较容易的衔接。现网机房资源整体情况见下表所示。</w:t>
      </w:r>
    </w:p>
    <w:p>
      <w:pPr>
        <w:pStyle w:val="8"/>
        <w:spacing w:before="48" w:after="48"/>
      </w:pPr>
      <w:r>
        <w:rPr>
          <w:rFonts w:hint="eastAsia"/>
        </w:rPr>
        <w:t>表</w:t>
      </w:r>
      <w:r>
        <w:t xml:space="preserve">4-2 </w:t>
      </w:r>
      <w:r>
        <w:rPr>
          <w:rFonts w:hint="eastAsia"/>
        </w:rPr>
        <w:t>梁平区通信单位汇聚接入机房情况表</w:t>
      </w:r>
    </w:p>
    <w:tbl>
      <w:tblPr>
        <w:tblStyle w:val="30"/>
        <w:tblW w:w="9072" w:type="dxa"/>
        <w:jc w:val="center"/>
        <w:tblLayout w:type="fixed"/>
        <w:tblCellMar>
          <w:top w:w="0" w:type="dxa"/>
          <w:left w:w="108" w:type="dxa"/>
          <w:bottom w:w="0" w:type="dxa"/>
          <w:right w:w="108" w:type="dxa"/>
        </w:tblCellMar>
      </w:tblPr>
      <w:tblGrid>
        <w:gridCol w:w="1696"/>
        <w:gridCol w:w="2864"/>
        <w:gridCol w:w="2244"/>
        <w:gridCol w:w="2268"/>
      </w:tblGrid>
      <w:tr>
        <w:tblPrEx>
          <w:tblCellMar>
            <w:top w:w="0" w:type="dxa"/>
            <w:left w:w="108" w:type="dxa"/>
            <w:bottom w:w="0" w:type="dxa"/>
            <w:right w:w="108" w:type="dxa"/>
          </w:tblCellMar>
        </w:tblPrEx>
        <w:trPr>
          <w:cantSplit/>
          <w:trHeight w:val="270" w:hRule="atLeast"/>
          <w:tblHeader/>
          <w:jc w:val="center"/>
        </w:trPr>
        <w:tc>
          <w:tcPr>
            <w:tcW w:w="1696" w:type="dxa"/>
            <w:tcBorders>
              <w:top w:val="single" w:color="auto" w:sz="4" w:space="0"/>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bCs/>
                <w:color w:val="000000"/>
                <w:kern w:val="2"/>
                <w:sz w:val="21"/>
                <w:szCs w:val="21"/>
              </w:rPr>
              <w:t>运营商</w:t>
            </w:r>
          </w:p>
        </w:tc>
        <w:tc>
          <w:tcPr>
            <w:tcW w:w="2864" w:type="dxa"/>
            <w:tcBorders>
              <w:top w:val="single" w:color="auto" w:sz="4" w:space="0"/>
              <w:left w:val="nil"/>
              <w:bottom w:val="single" w:color="auto" w:sz="4" w:space="0"/>
              <w:right w:val="single" w:color="auto" w:sz="4" w:space="0"/>
            </w:tcBorders>
            <w:vAlign w:val="center"/>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bCs/>
                <w:color w:val="000000"/>
                <w:kern w:val="2"/>
                <w:sz w:val="21"/>
                <w:szCs w:val="21"/>
              </w:rPr>
              <w:t>核心机房（个）</w:t>
            </w:r>
          </w:p>
        </w:tc>
        <w:tc>
          <w:tcPr>
            <w:tcW w:w="2244" w:type="dxa"/>
            <w:tcBorders>
              <w:top w:val="single" w:color="auto" w:sz="4" w:space="0"/>
              <w:left w:val="nil"/>
              <w:bottom w:val="single" w:color="auto" w:sz="4" w:space="0"/>
              <w:right w:val="single" w:color="auto" w:sz="4" w:space="0"/>
            </w:tcBorders>
            <w:vAlign w:val="center"/>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bCs/>
                <w:color w:val="000000"/>
                <w:kern w:val="2"/>
                <w:sz w:val="21"/>
                <w:szCs w:val="21"/>
              </w:rPr>
              <w:t>汇聚机房（个）</w:t>
            </w:r>
          </w:p>
        </w:tc>
        <w:tc>
          <w:tcPr>
            <w:tcW w:w="2268" w:type="dxa"/>
            <w:tcBorders>
              <w:top w:val="single" w:color="auto" w:sz="4" w:space="0"/>
              <w:left w:val="nil"/>
              <w:bottom w:val="single" w:color="auto" w:sz="4" w:space="0"/>
              <w:right w:val="single" w:color="auto" w:sz="4" w:space="0"/>
            </w:tcBorders>
            <w:vAlign w:val="center"/>
          </w:tcPr>
          <w:p>
            <w:pPr>
              <w:snapToGrid w:val="0"/>
              <w:contextualSpacing/>
              <w:jc w:val="both"/>
              <w:rPr>
                <w:rFonts w:ascii="Times New Roman" w:hAnsi="Times New Roman" w:cs="Times New Roman"/>
                <w:b/>
                <w:color w:val="000000"/>
                <w:sz w:val="21"/>
                <w:szCs w:val="21"/>
              </w:rPr>
            </w:pPr>
            <w:r>
              <w:rPr>
                <w:rFonts w:hint="eastAsia" w:ascii="Times New Roman" w:hAnsi="Times New Roman" w:cs="Times New Roman"/>
                <w:b/>
                <w:bCs/>
                <w:color w:val="000000"/>
                <w:kern w:val="2"/>
                <w:sz w:val="21"/>
                <w:szCs w:val="21"/>
              </w:rPr>
              <w:t>接入网机房（个）</w:t>
            </w:r>
          </w:p>
        </w:tc>
      </w:tr>
      <w:tr>
        <w:tblPrEx>
          <w:tblCellMar>
            <w:top w:w="0" w:type="dxa"/>
            <w:left w:w="108" w:type="dxa"/>
            <w:bottom w:w="0" w:type="dxa"/>
            <w:right w:w="108" w:type="dxa"/>
          </w:tblCellMar>
        </w:tblPrEx>
        <w:trPr>
          <w:trHeight w:val="270" w:hRule="atLeast"/>
          <w:jc w:val="center"/>
        </w:trPr>
        <w:tc>
          <w:tcPr>
            <w:tcW w:w="1696" w:type="dxa"/>
            <w:tcBorders>
              <w:top w:val="nil"/>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kern w:val="2"/>
                <w:sz w:val="21"/>
                <w:szCs w:val="21"/>
              </w:rPr>
              <w:t>梁平联通</w:t>
            </w:r>
          </w:p>
        </w:tc>
        <w:tc>
          <w:tcPr>
            <w:tcW w:w="286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1</w:t>
            </w:r>
          </w:p>
        </w:tc>
        <w:tc>
          <w:tcPr>
            <w:tcW w:w="224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2</w:t>
            </w:r>
          </w:p>
        </w:tc>
        <w:tc>
          <w:tcPr>
            <w:tcW w:w="2268"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7</w:t>
            </w:r>
          </w:p>
        </w:tc>
      </w:tr>
      <w:tr>
        <w:tblPrEx>
          <w:tblCellMar>
            <w:top w:w="0" w:type="dxa"/>
            <w:left w:w="108" w:type="dxa"/>
            <w:bottom w:w="0" w:type="dxa"/>
            <w:right w:w="108" w:type="dxa"/>
          </w:tblCellMar>
        </w:tblPrEx>
        <w:trPr>
          <w:trHeight w:val="270" w:hRule="atLeast"/>
          <w:jc w:val="center"/>
        </w:trPr>
        <w:tc>
          <w:tcPr>
            <w:tcW w:w="1696" w:type="dxa"/>
            <w:tcBorders>
              <w:top w:val="nil"/>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kern w:val="2"/>
                <w:sz w:val="21"/>
                <w:szCs w:val="21"/>
              </w:rPr>
              <w:t>梁平电信</w:t>
            </w:r>
          </w:p>
        </w:tc>
        <w:tc>
          <w:tcPr>
            <w:tcW w:w="286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2</w:t>
            </w:r>
          </w:p>
        </w:tc>
        <w:tc>
          <w:tcPr>
            <w:tcW w:w="224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8</w:t>
            </w:r>
          </w:p>
        </w:tc>
        <w:tc>
          <w:tcPr>
            <w:tcW w:w="2268"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43</w:t>
            </w:r>
          </w:p>
        </w:tc>
      </w:tr>
      <w:tr>
        <w:tblPrEx>
          <w:tblCellMar>
            <w:top w:w="0" w:type="dxa"/>
            <w:left w:w="108" w:type="dxa"/>
            <w:bottom w:w="0" w:type="dxa"/>
            <w:right w:w="108" w:type="dxa"/>
          </w:tblCellMar>
        </w:tblPrEx>
        <w:trPr>
          <w:trHeight w:val="270" w:hRule="atLeast"/>
          <w:jc w:val="center"/>
        </w:trPr>
        <w:tc>
          <w:tcPr>
            <w:tcW w:w="1696" w:type="dxa"/>
            <w:tcBorders>
              <w:top w:val="nil"/>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kern w:val="2"/>
                <w:sz w:val="21"/>
                <w:szCs w:val="21"/>
              </w:rPr>
              <w:t>梁平移动</w:t>
            </w:r>
          </w:p>
        </w:tc>
        <w:tc>
          <w:tcPr>
            <w:tcW w:w="286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2</w:t>
            </w:r>
          </w:p>
        </w:tc>
        <w:tc>
          <w:tcPr>
            <w:tcW w:w="224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38</w:t>
            </w:r>
          </w:p>
        </w:tc>
        <w:tc>
          <w:tcPr>
            <w:tcW w:w="2268"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293</w:t>
            </w:r>
          </w:p>
        </w:tc>
      </w:tr>
      <w:tr>
        <w:tblPrEx>
          <w:tblCellMar>
            <w:top w:w="0" w:type="dxa"/>
            <w:left w:w="108" w:type="dxa"/>
            <w:bottom w:w="0" w:type="dxa"/>
            <w:right w:w="108" w:type="dxa"/>
          </w:tblCellMar>
        </w:tblPrEx>
        <w:trPr>
          <w:trHeight w:val="270" w:hRule="atLeast"/>
          <w:jc w:val="center"/>
        </w:trPr>
        <w:tc>
          <w:tcPr>
            <w:tcW w:w="1696" w:type="dxa"/>
            <w:tcBorders>
              <w:top w:val="nil"/>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kern w:val="2"/>
                <w:sz w:val="21"/>
                <w:szCs w:val="21"/>
              </w:rPr>
              <w:t>梁平广电</w:t>
            </w:r>
          </w:p>
        </w:tc>
        <w:tc>
          <w:tcPr>
            <w:tcW w:w="286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1</w:t>
            </w:r>
          </w:p>
        </w:tc>
        <w:tc>
          <w:tcPr>
            <w:tcW w:w="2244"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3</w:t>
            </w:r>
          </w:p>
        </w:tc>
        <w:tc>
          <w:tcPr>
            <w:tcW w:w="2268" w:type="dxa"/>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eastAsia="等线" w:cs="Times New Roman"/>
                <w:color w:val="000000"/>
                <w:kern w:val="2"/>
                <w:sz w:val="21"/>
                <w:szCs w:val="21"/>
              </w:rPr>
              <w:t>38</w:t>
            </w:r>
          </w:p>
        </w:tc>
      </w:tr>
    </w:tbl>
    <w:p>
      <w:pPr>
        <w:widowControl w:val="0"/>
        <w:snapToGrid w:val="0"/>
        <w:spacing w:line="360" w:lineRule="auto"/>
        <w:ind w:firstLine="480" w:firstLineChars="200"/>
        <w:contextualSpacing/>
        <w:jc w:val="both"/>
        <w:rPr>
          <w:rFonts w:ascii="Times New Roman" w:hAnsi="Times New Roman" w:cs="Times New Roman"/>
          <w:kern w:val="2"/>
        </w:rPr>
      </w:pP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随着</w:t>
      </w:r>
      <w:r>
        <w:rPr>
          <w:rFonts w:ascii="Times New Roman" w:hAnsi="Times New Roman" w:cs="Times New Roman"/>
          <w:kern w:val="2"/>
        </w:rPr>
        <w:t>5G</w:t>
      </w:r>
      <w:r>
        <w:rPr>
          <w:rFonts w:hint="eastAsia" w:ascii="Times New Roman" w:hAnsi="Times New Roman" w:cs="Times New Roman"/>
          <w:kern w:val="2"/>
        </w:rPr>
        <w:t>业务的成熟稳定，市场用户对</w:t>
      </w:r>
      <w:r>
        <w:rPr>
          <w:rFonts w:ascii="Times New Roman" w:hAnsi="Times New Roman" w:cs="Times New Roman"/>
          <w:kern w:val="2"/>
        </w:rPr>
        <w:t>5G</w:t>
      </w:r>
      <w:r>
        <w:rPr>
          <w:rFonts w:hint="eastAsia" w:ascii="Times New Roman" w:hAnsi="Times New Roman" w:cs="Times New Roman"/>
          <w:kern w:val="2"/>
        </w:rPr>
        <w:t>网络的要求日益增高，加厚加深</w:t>
      </w:r>
      <w:r>
        <w:rPr>
          <w:rFonts w:ascii="Times New Roman" w:hAnsi="Times New Roman" w:cs="Times New Roman"/>
          <w:kern w:val="2"/>
        </w:rPr>
        <w:t>5G</w:t>
      </w:r>
      <w:r>
        <w:rPr>
          <w:rFonts w:hint="eastAsia" w:ascii="Times New Roman" w:hAnsi="Times New Roman" w:cs="Times New Roman"/>
          <w:kern w:val="2"/>
        </w:rPr>
        <w:t>网络覆盖是必然趋势。统筹考虑三家运营商和梁平广电对</w:t>
      </w:r>
      <w:r>
        <w:rPr>
          <w:rFonts w:ascii="Times New Roman" w:hAnsi="Times New Roman" w:cs="Times New Roman"/>
          <w:kern w:val="2"/>
        </w:rPr>
        <w:t>5G</w:t>
      </w:r>
      <w:r>
        <w:rPr>
          <w:rFonts w:hint="eastAsia" w:ascii="Times New Roman" w:hAnsi="Times New Roman" w:cs="Times New Roman"/>
          <w:kern w:val="2"/>
        </w:rPr>
        <w:t>站址的潜在需求，科学预测</w:t>
      </w:r>
      <w:r>
        <w:rPr>
          <w:rFonts w:ascii="Times New Roman" w:hAnsi="Times New Roman" w:cs="Times New Roman"/>
          <w:kern w:val="2"/>
        </w:rPr>
        <w:t>5G</w:t>
      </w:r>
      <w:r>
        <w:rPr>
          <w:rFonts w:hint="eastAsia" w:ascii="Times New Roman" w:hAnsi="Times New Roman" w:cs="Times New Roman"/>
          <w:kern w:val="2"/>
        </w:rPr>
        <w:t>组网的技术选型，在现有通信机房基础上规划新的综合接入机房可以为后续</w:t>
      </w:r>
      <w:r>
        <w:rPr>
          <w:rFonts w:ascii="Times New Roman" w:hAnsi="Times New Roman" w:cs="Times New Roman"/>
          <w:kern w:val="2"/>
        </w:rPr>
        <w:t>5G</w:t>
      </w:r>
      <w:r>
        <w:rPr>
          <w:rFonts w:hint="eastAsia" w:ascii="Times New Roman" w:hAnsi="Times New Roman" w:cs="Times New Roman"/>
          <w:kern w:val="2"/>
        </w:rPr>
        <w:t>网络的持续演进和柔性升级提供坚实的物理资源基础。</w:t>
      </w:r>
    </w:p>
    <w:p>
      <w:pPr>
        <w:pStyle w:val="3"/>
      </w:pPr>
      <w:bookmarkStart w:id="167" w:name="_Toc56092766"/>
      <w:r>
        <w:rPr>
          <w:rFonts w:hint="eastAsia"/>
        </w:rPr>
        <w:t>梁平通信设施建设痛点分析</w:t>
      </w:r>
      <w:bookmarkEnd w:id="167"/>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区的通信行业实行体制改革以来，多家运营企业竞争经营，有力促进了通信行业的快速发展，但在规划建设上确存在很多问题，主要是普遍存在的运营商短期规划、各自为政、用地和网络资源及建设资金浪费严重，给城市规划及管理造成许多困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目前梁平区通信基础设施建设主要有以下几个问题：</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 4G</w:t>
      </w:r>
      <w:r>
        <w:rPr>
          <w:rFonts w:hint="eastAsia" w:ascii="Times New Roman" w:hAnsi="Times New Roman" w:cs="Times New Roman"/>
          <w:kern w:val="2"/>
        </w:rPr>
        <w:t>网络基本全面覆盖，</w:t>
      </w:r>
      <w:r>
        <w:rPr>
          <w:rFonts w:ascii="Times New Roman" w:hAnsi="Times New Roman" w:cs="Times New Roman"/>
          <w:kern w:val="2"/>
        </w:rPr>
        <w:t>5G</w:t>
      </w:r>
      <w:r>
        <w:rPr>
          <w:rFonts w:hint="eastAsia" w:ascii="Times New Roman" w:hAnsi="Times New Roman" w:cs="Times New Roman"/>
          <w:kern w:val="2"/>
        </w:rPr>
        <w:t>网络建设蓄势待发。</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3GPP 5G</w:t>
      </w:r>
      <w:r>
        <w:rPr>
          <w:rFonts w:hint="eastAsia" w:ascii="Times New Roman" w:hAnsi="Times New Roman" w:cs="Times New Roman"/>
          <w:kern w:val="2"/>
        </w:rPr>
        <w:t>版本已经冻结，奠定了</w:t>
      </w:r>
      <w:r>
        <w:rPr>
          <w:rFonts w:ascii="Times New Roman" w:hAnsi="Times New Roman" w:cs="Times New Roman"/>
          <w:kern w:val="2"/>
        </w:rPr>
        <w:t>eMBB</w:t>
      </w:r>
      <w:r>
        <w:rPr>
          <w:rFonts w:hint="eastAsia" w:ascii="Times New Roman" w:hAnsi="Times New Roman" w:cs="Times New Roman"/>
          <w:kern w:val="2"/>
        </w:rPr>
        <w:t>规模商用基础；</w:t>
      </w:r>
      <w:r>
        <w:rPr>
          <w:rFonts w:ascii="Times New Roman" w:hAnsi="Times New Roman" w:cs="Times New Roman"/>
          <w:kern w:val="2"/>
        </w:rPr>
        <w:t>5G</w:t>
      </w:r>
      <w:r>
        <w:rPr>
          <w:rFonts w:hint="eastAsia" w:ascii="Times New Roman" w:hAnsi="Times New Roman" w:cs="Times New Roman"/>
          <w:kern w:val="2"/>
        </w:rPr>
        <w:t>网络能力向多纬度，多领域延伸，极致连接能力将改善和影响所有行业。三大运营商缺少</w:t>
      </w:r>
      <w:r>
        <w:rPr>
          <w:rFonts w:ascii="Times New Roman" w:hAnsi="Times New Roman" w:cs="Times New Roman"/>
          <w:kern w:val="2"/>
        </w:rPr>
        <w:t>5G</w:t>
      </w:r>
      <w:r>
        <w:rPr>
          <w:rFonts w:hint="eastAsia" w:ascii="Times New Roman" w:hAnsi="Times New Roman" w:cs="Times New Roman"/>
          <w:kern w:val="2"/>
        </w:rPr>
        <w:t>统一规划，缺少联动机制，需要对</w:t>
      </w:r>
      <w:r>
        <w:rPr>
          <w:rFonts w:ascii="Times New Roman" w:hAnsi="Times New Roman" w:cs="Times New Roman"/>
          <w:kern w:val="2"/>
        </w:rPr>
        <w:t>5G</w:t>
      </w:r>
      <w:r>
        <w:rPr>
          <w:rFonts w:hint="eastAsia" w:ascii="Times New Roman" w:hAnsi="Times New Roman" w:cs="Times New Roman"/>
          <w:kern w:val="2"/>
        </w:rPr>
        <w:t>通信基础设施进行统一规划，统一协调；市政府要求各地市</w:t>
      </w:r>
      <w:r>
        <w:rPr>
          <w:rFonts w:ascii="Times New Roman" w:hAnsi="Times New Roman" w:cs="Times New Roman"/>
          <w:kern w:val="2"/>
        </w:rPr>
        <w:t>5G</w:t>
      </w:r>
      <w:r>
        <w:rPr>
          <w:rFonts w:hint="eastAsia" w:ascii="微软雅黑" w:hAnsi="微软雅黑" w:eastAsia="微软雅黑"/>
          <w:color w:val="4D5562"/>
        </w:rPr>
        <w:t>通</w:t>
      </w:r>
      <w:r>
        <w:rPr>
          <w:rFonts w:hint="eastAsia" w:ascii="Times New Roman" w:hAnsi="Times New Roman" w:cs="Times New Roman"/>
          <w:kern w:val="2"/>
        </w:rPr>
        <w:t>信基础设施专项规划编制率达到</w:t>
      </w:r>
      <w:r>
        <w:rPr>
          <w:rFonts w:ascii="Times New Roman" w:hAnsi="Times New Roman" w:cs="Times New Roman"/>
          <w:kern w:val="2"/>
        </w:rPr>
        <w:t>100%</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 xml:space="preserve">(2) </w:t>
      </w:r>
      <w:r>
        <w:rPr>
          <w:rFonts w:hint="eastAsia" w:ascii="Times New Roman" w:hAnsi="Times New Roman" w:cs="Times New Roman"/>
          <w:kern w:val="2"/>
        </w:rPr>
        <w:t>基站建设越来越困难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移动通信基站的建设在</w:t>
      </w:r>
      <w:r>
        <w:rPr>
          <w:rFonts w:ascii="Times New Roman" w:hAnsi="Times New Roman" w:cs="Times New Roman"/>
          <w:kern w:val="2"/>
        </w:rPr>
        <w:t>2015</w:t>
      </w:r>
      <w:r>
        <w:rPr>
          <w:rFonts w:hint="eastAsia" w:ascii="Times New Roman" w:hAnsi="Times New Roman" w:cs="Times New Roman"/>
          <w:kern w:val="2"/>
        </w:rPr>
        <w:t>年以前均为三大运营</w:t>
      </w:r>
      <w:r>
        <w:rPr>
          <w:rFonts w:hint="eastAsia" w:ascii="Times New Roman" w:hAnsi="Times New Roman" w:cs="Times New Roman"/>
          <w:color w:val="000000"/>
          <w:kern w:val="2"/>
        </w:rPr>
        <w:t>商各自主导，极少合作共建共享</w:t>
      </w:r>
      <w:r>
        <w:rPr>
          <w:rFonts w:hint="eastAsia" w:ascii="Times New Roman" w:hAnsi="Times New Roman" w:cs="Times New Roman"/>
          <w:kern w:val="2"/>
        </w:rPr>
        <w:t>，造成大量的重复建设和资源浪费。</w:t>
      </w:r>
      <w:r>
        <w:rPr>
          <w:rFonts w:ascii="Times New Roman" w:hAnsi="Times New Roman" w:cs="Times New Roman"/>
          <w:kern w:val="2"/>
        </w:rPr>
        <w:t>2015</w:t>
      </w:r>
      <w:r>
        <w:rPr>
          <w:rFonts w:hint="eastAsia" w:ascii="Times New Roman" w:hAnsi="Times New Roman" w:cs="Times New Roman"/>
          <w:kern w:val="2"/>
        </w:rPr>
        <w:t>年成立的铁塔公司全面实施基站基础设施建设的统筹协调，以此杜绝资源的浪费，实现基站集约化建设目标。在科学合理规划基站站址布局时，报刊、杂志、电视、网络等媒体又经常爆出大量夸大基站电磁辐射危害的言论，严重误导了普通民众对基站的认识，导致群众对基站产生了恐惧和排斥心理，居民一方面要求通信信号质量好，一方面又反对基站建在自家门前，这种思想严重阻碍了正常的基站建设进度。因此，部分现网基站被逼迁和新建基站选址困难的问题日益凸出。</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 xml:space="preserve">(3) </w:t>
      </w:r>
      <w:r>
        <w:rPr>
          <w:rFonts w:hint="eastAsia" w:ascii="Times New Roman" w:hAnsi="Times New Roman" w:cs="Times New Roman"/>
          <w:kern w:val="2"/>
        </w:rPr>
        <w:t>通信基础设施应纳入城市发展中</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城市规划发展和市政建设中，对于通信基础设施建设的关注度不够，部分城市建设中由于没有给通信网络基础设施预留规划用地，造成通信基站选址特别困难。应将通信基础设施，作为公共服务基础设施的一种，纳入城市建设、道路规划等各项城市发展中，以确保具备服务全区的公共通信和信息服务能力。</w:t>
      </w:r>
      <w:r>
        <w:rPr>
          <w:rFonts w:ascii="Times New Roman" w:hAnsi="Times New Roman" w:cs="Times New Roman"/>
          <w:kern w:val="2"/>
        </w:rPr>
        <w:br w:type="page"/>
      </w:r>
    </w:p>
    <w:p>
      <w:pPr>
        <w:pStyle w:val="2"/>
      </w:pPr>
      <w:bookmarkStart w:id="168" w:name="_Toc56092767"/>
      <w:r>
        <w:rPr>
          <w:rFonts w:hint="eastAsia"/>
        </w:rPr>
        <w:t>通信业务需求预测</w:t>
      </w:r>
      <w:bookmarkEnd w:id="168"/>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分别调研梁平铁塔、梁平移动、梁平电信、梁平联通和梁平广电等通信单位对通信机房、基站的需求情况，将现有各方需求进行汇总整理；规划还对通信技术发展趋势进行分析、对区智慧城市建设和规划情况进行解读，全方位评估未来通信需求对通信基础设施的要求；同时结合各区域规划定位、人口数量和用地规模进行</w:t>
      </w:r>
      <w:r>
        <w:rPr>
          <w:rFonts w:ascii="Times New Roman" w:hAnsi="Times New Roman" w:cs="Times New Roman"/>
          <w:kern w:val="2"/>
        </w:rPr>
        <w:t>5G</w:t>
      </w:r>
      <w:r>
        <w:rPr>
          <w:rFonts w:hint="eastAsia" w:ascii="Times New Roman" w:hAnsi="Times New Roman" w:cs="Times New Roman"/>
          <w:kern w:val="2"/>
        </w:rPr>
        <w:t>通信需求预测，最终确定各类</w:t>
      </w:r>
      <w:r>
        <w:rPr>
          <w:rFonts w:ascii="Times New Roman" w:hAnsi="Times New Roman" w:cs="Times New Roman"/>
          <w:kern w:val="2"/>
        </w:rPr>
        <w:t>5G</w:t>
      </w:r>
      <w:r>
        <w:rPr>
          <w:rFonts w:hint="eastAsia" w:ascii="Times New Roman" w:hAnsi="Times New Roman" w:cs="Times New Roman"/>
          <w:kern w:val="2"/>
        </w:rPr>
        <w:t>通信设施的规划需求。</w:t>
      </w:r>
    </w:p>
    <w:p>
      <w:pPr>
        <w:pStyle w:val="3"/>
        <w:numPr>
          <w:ilvl w:val="0"/>
          <w:numId w:val="35"/>
        </w:numPr>
      </w:pPr>
      <w:bookmarkStart w:id="169" w:name="_Toc56092768"/>
      <w:r>
        <w:rPr>
          <w:rFonts w:hint="eastAsia"/>
        </w:rPr>
        <w:t>梁平移动通信需求预测</w:t>
      </w:r>
      <w:bookmarkEnd w:id="169"/>
    </w:p>
    <w:p>
      <w:pPr>
        <w:pStyle w:val="5"/>
        <w:numPr>
          <w:ilvl w:val="0"/>
          <w:numId w:val="36"/>
        </w:numPr>
      </w:pPr>
      <w:bookmarkStart w:id="170" w:name="_Toc56092769"/>
      <w:r>
        <w:rPr>
          <w:rFonts w:hint="eastAsia"/>
        </w:rPr>
        <w:t>预测基本思路</w:t>
      </w:r>
      <w:bookmarkEnd w:id="170"/>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根据基站类型区别对待宏基站和室内站：为简化预测模型，本次预测仅针对室外宏基站，室外宏基站具有电磁辐射强、与城市景观密切、分布广等特点，是基站站址布局规划的重点。</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宏基站扩展物理站址和逻辑站址的范围：一般而言，运营商所指的逻辑站址是指不同制式、不同频率、不同站型的基站，也就是将同一个机房内的</w:t>
      </w:r>
      <w:r>
        <w:rPr>
          <w:rFonts w:ascii="Times New Roman" w:hAnsi="Times New Roman" w:cs="Times New Roman"/>
          <w:kern w:val="2"/>
        </w:rPr>
        <w:t xml:space="preserve"> 900MHz</w:t>
      </w:r>
      <w:r>
        <w:rPr>
          <w:rFonts w:hint="eastAsia" w:ascii="Times New Roman" w:hAnsi="Times New Roman" w:cs="Times New Roman"/>
          <w:kern w:val="2"/>
        </w:rPr>
        <w:t>、</w:t>
      </w:r>
      <w:r>
        <w:rPr>
          <w:rFonts w:ascii="Times New Roman" w:hAnsi="Times New Roman" w:cs="Times New Roman"/>
          <w:kern w:val="2"/>
        </w:rPr>
        <w:t>1800MHz</w:t>
      </w:r>
      <w:r>
        <w:rPr>
          <w:rFonts w:hint="eastAsia" w:ascii="Times New Roman" w:hAnsi="Times New Roman" w:cs="Times New Roman"/>
          <w:kern w:val="2"/>
        </w:rPr>
        <w:t>、</w:t>
      </w:r>
      <w:r>
        <w:rPr>
          <w:rFonts w:ascii="Times New Roman" w:hAnsi="Times New Roman" w:cs="Times New Roman"/>
          <w:kern w:val="2"/>
        </w:rPr>
        <w:t>2100MHz</w:t>
      </w:r>
      <w:r>
        <w:rPr>
          <w:rFonts w:hint="eastAsia" w:ascii="Times New Roman" w:hAnsi="Times New Roman" w:cs="Times New Roman"/>
          <w:kern w:val="2"/>
        </w:rPr>
        <w:t>和</w:t>
      </w:r>
      <w:r>
        <w:rPr>
          <w:rFonts w:ascii="Times New Roman" w:hAnsi="Times New Roman" w:cs="Times New Roman"/>
          <w:kern w:val="2"/>
        </w:rPr>
        <w:t>2600MHz</w:t>
      </w:r>
      <w:r>
        <w:rPr>
          <w:rFonts w:hint="eastAsia" w:ascii="Times New Roman" w:hAnsi="Times New Roman" w:cs="Times New Roman"/>
          <w:kern w:val="2"/>
        </w:rPr>
        <w:t>基站视为四个逻辑站点，而本次规划所指逻辑站址是将同一个机房内的</w:t>
      </w:r>
      <w:r>
        <w:rPr>
          <w:rFonts w:ascii="Times New Roman" w:hAnsi="Times New Roman" w:cs="Times New Roman"/>
          <w:kern w:val="2"/>
        </w:rPr>
        <w:t>900MHz</w:t>
      </w:r>
      <w:r>
        <w:rPr>
          <w:rFonts w:hint="eastAsia" w:ascii="Times New Roman" w:hAnsi="Times New Roman" w:cs="Times New Roman"/>
          <w:kern w:val="2"/>
        </w:rPr>
        <w:t>、</w:t>
      </w:r>
      <w:r>
        <w:rPr>
          <w:rFonts w:ascii="Times New Roman" w:hAnsi="Times New Roman" w:cs="Times New Roman"/>
          <w:kern w:val="2"/>
        </w:rPr>
        <w:t>1800MHz</w:t>
      </w:r>
      <w:r>
        <w:rPr>
          <w:rFonts w:hint="eastAsia" w:ascii="Times New Roman" w:hAnsi="Times New Roman" w:cs="Times New Roman"/>
          <w:kern w:val="2"/>
        </w:rPr>
        <w:t>、</w:t>
      </w:r>
      <w:r>
        <w:rPr>
          <w:rFonts w:ascii="Times New Roman" w:hAnsi="Times New Roman" w:cs="Times New Roman"/>
          <w:kern w:val="2"/>
        </w:rPr>
        <w:t>2100MHz</w:t>
      </w:r>
      <w:r>
        <w:rPr>
          <w:rFonts w:hint="eastAsia" w:ascii="Times New Roman" w:hAnsi="Times New Roman" w:cs="Times New Roman"/>
          <w:kern w:val="2"/>
        </w:rPr>
        <w:t>和</w:t>
      </w:r>
      <w:r>
        <w:rPr>
          <w:rFonts w:ascii="Times New Roman" w:hAnsi="Times New Roman" w:cs="Times New Roman"/>
          <w:kern w:val="2"/>
        </w:rPr>
        <w:t>2600MHz</w:t>
      </w:r>
      <w:r>
        <w:rPr>
          <w:rFonts w:hint="eastAsia" w:ascii="Times New Roman" w:hAnsi="Times New Roman" w:cs="Times New Roman"/>
          <w:kern w:val="2"/>
        </w:rPr>
        <w:t>基站视为一个逻辑站点。扩大逻辑站址和物理站址的定义范围有助于增加基站建设的灵活性，与基站特点保持一致。</w:t>
      </w:r>
    </w:p>
    <w:p>
      <w:pPr>
        <w:pStyle w:val="5"/>
      </w:pPr>
      <w:bookmarkStart w:id="171" w:name="_Toc56092770"/>
      <w:r>
        <w:rPr>
          <w:rFonts w:hint="eastAsia"/>
        </w:rPr>
        <w:t>频段分配</w:t>
      </w:r>
      <w:bookmarkEnd w:id="171"/>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三家运营商</w:t>
      </w:r>
      <w:r>
        <w:rPr>
          <w:rFonts w:ascii="Times New Roman" w:hAnsi="Times New Roman" w:cs="Times New Roman"/>
          <w:kern w:val="2"/>
        </w:rPr>
        <w:t>5G</w:t>
      </w:r>
      <w:r>
        <w:rPr>
          <w:rFonts w:hint="eastAsia" w:ascii="Times New Roman" w:hAnsi="Times New Roman" w:cs="Times New Roman"/>
          <w:kern w:val="2"/>
        </w:rPr>
        <w:t>网络使用不同频段，其中广电</w:t>
      </w:r>
      <w:r>
        <w:rPr>
          <w:rFonts w:ascii="Times New Roman" w:hAnsi="Times New Roman" w:cs="Times New Roman"/>
          <w:kern w:val="2"/>
        </w:rPr>
        <w:t>5G</w:t>
      </w:r>
      <w:r>
        <w:rPr>
          <w:rFonts w:hint="eastAsia" w:ascii="Times New Roman" w:hAnsi="Times New Roman" w:cs="Times New Roman"/>
          <w:kern w:val="2"/>
        </w:rPr>
        <w:t>的连续覆盖主要采用</w:t>
      </w:r>
      <w:r>
        <w:rPr>
          <w:rFonts w:ascii="Times New Roman" w:hAnsi="Times New Roman" w:cs="Times New Roman"/>
          <w:kern w:val="2"/>
        </w:rPr>
        <w:t>700MHz</w:t>
      </w:r>
      <w:r>
        <w:rPr>
          <w:rFonts w:hint="eastAsia" w:ascii="Times New Roman" w:hAnsi="Times New Roman" w:cs="Times New Roman"/>
          <w:kern w:val="2"/>
        </w:rPr>
        <w:t>频段，电信和联通采用</w:t>
      </w:r>
      <w:r>
        <w:rPr>
          <w:rFonts w:ascii="Times New Roman" w:hAnsi="Times New Roman" w:cs="Times New Roman"/>
          <w:kern w:val="2"/>
        </w:rPr>
        <w:t>3500MHz</w:t>
      </w:r>
      <w:r>
        <w:rPr>
          <w:rFonts w:hint="eastAsia" w:ascii="Times New Roman" w:hAnsi="Times New Roman" w:cs="Times New Roman"/>
          <w:kern w:val="2"/>
        </w:rPr>
        <w:t>频段，移动采用</w:t>
      </w:r>
      <w:r>
        <w:rPr>
          <w:rFonts w:ascii="Times New Roman" w:hAnsi="Times New Roman" w:cs="Times New Roman"/>
          <w:kern w:val="2"/>
        </w:rPr>
        <w:t>2600MHz</w:t>
      </w:r>
      <w:r>
        <w:rPr>
          <w:rFonts w:hint="eastAsia" w:ascii="Times New Roman" w:hAnsi="Times New Roman" w:cs="Times New Roman"/>
          <w:kern w:val="2"/>
        </w:rPr>
        <w:t>频段。相对</w:t>
      </w:r>
      <w:r>
        <w:rPr>
          <w:rFonts w:ascii="Times New Roman" w:hAnsi="Times New Roman" w:cs="Times New Roman"/>
          <w:kern w:val="2"/>
        </w:rPr>
        <w:t xml:space="preserve">3500MHz </w:t>
      </w:r>
      <w:r>
        <w:rPr>
          <w:rFonts w:hint="eastAsia" w:ascii="Times New Roman" w:hAnsi="Times New Roman" w:cs="Times New Roman"/>
          <w:kern w:val="2"/>
        </w:rPr>
        <w:t>频段，</w:t>
      </w:r>
      <w:r>
        <w:rPr>
          <w:rFonts w:ascii="Times New Roman" w:hAnsi="Times New Roman" w:cs="Times New Roman"/>
          <w:kern w:val="2"/>
        </w:rPr>
        <w:t>700MHz</w:t>
      </w:r>
      <w:r>
        <w:rPr>
          <w:rFonts w:hint="eastAsia" w:ascii="Times New Roman" w:hAnsi="Times New Roman" w:cs="Times New Roman"/>
          <w:kern w:val="2"/>
        </w:rPr>
        <w:t>和</w:t>
      </w:r>
      <w:r>
        <w:rPr>
          <w:rFonts w:ascii="Times New Roman" w:hAnsi="Times New Roman" w:cs="Times New Roman"/>
          <w:kern w:val="2"/>
        </w:rPr>
        <w:t>2600MHz</w:t>
      </w:r>
      <w:r>
        <w:rPr>
          <w:rFonts w:hint="eastAsia" w:ascii="Times New Roman" w:hAnsi="Times New Roman" w:cs="Times New Roman"/>
          <w:kern w:val="2"/>
        </w:rPr>
        <w:t>频段较低，覆盖半径大，其站间距大。为保证各频段的网络都能获得足够的站址，本次规划按</w:t>
      </w:r>
      <w:r>
        <w:rPr>
          <w:rFonts w:ascii="Times New Roman" w:hAnsi="Times New Roman" w:cs="Times New Roman"/>
          <w:kern w:val="2"/>
        </w:rPr>
        <w:t>5G</w:t>
      </w:r>
      <w:r>
        <w:rPr>
          <w:rFonts w:hint="eastAsia" w:ascii="Times New Roman" w:hAnsi="Times New Roman" w:cs="Times New Roman"/>
          <w:kern w:val="2"/>
        </w:rPr>
        <w:t>频段（</w:t>
      </w:r>
      <w:r>
        <w:rPr>
          <w:rFonts w:ascii="Times New Roman" w:hAnsi="Times New Roman" w:cs="Times New Roman"/>
          <w:kern w:val="2"/>
        </w:rPr>
        <w:t>3.5GHz</w:t>
      </w:r>
      <w:r>
        <w:rPr>
          <w:rFonts w:hint="eastAsia" w:ascii="Times New Roman" w:hAnsi="Times New Roman" w:cs="Times New Roman"/>
          <w:kern w:val="2"/>
        </w:rPr>
        <w:t>高频</w:t>
      </w:r>
      <w:r>
        <w:rPr>
          <w:rFonts w:ascii="Times New Roman" w:hAnsi="Times New Roman" w:cs="Times New Roman"/>
          <w:kern w:val="2"/>
        </w:rPr>
        <w:t>eMBB</w:t>
      </w:r>
      <w:r>
        <w:rPr>
          <w:rFonts w:hint="eastAsia" w:ascii="Times New Roman" w:hAnsi="Times New Roman" w:cs="Times New Roman"/>
          <w:kern w:val="2"/>
        </w:rPr>
        <w:t>连续覆盖）进行</w:t>
      </w:r>
      <w:r>
        <w:rPr>
          <w:rFonts w:ascii="Times New Roman" w:hAnsi="Times New Roman" w:cs="Times New Roman"/>
          <w:kern w:val="2"/>
        </w:rPr>
        <w:t>5G</w:t>
      </w:r>
      <w:r>
        <w:rPr>
          <w:rFonts w:hint="eastAsia" w:ascii="Times New Roman" w:hAnsi="Times New Roman" w:cs="Times New Roman"/>
          <w:kern w:val="2"/>
        </w:rPr>
        <w:t>站址规划。</w:t>
      </w:r>
    </w:p>
    <w:p>
      <w:pPr>
        <w:pStyle w:val="8"/>
        <w:spacing w:before="48" w:after="48"/>
        <w:rPr>
          <w:b/>
        </w:rPr>
      </w:pPr>
      <w:r>
        <w:rPr>
          <w:rFonts w:hint="eastAsia"/>
        </w:rPr>
        <w:t>表</w:t>
      </w:r>
      <w:r>
        <w:t>5-1</w:t>
      </w:r>
      <w:r>
        <w:rPr>
          <w:rStyle w:val="39"/>
          <w:rFonts w:hint="eastAsia"/>
          <w:bCs w:val="0"/>
        </w:rPr>
        <w:t>各运营商频段分配表</w:t>
      </w:r>
    </w:p>
    <w:tbl>
      <w:tblPr>
        <w:tblStyle w:val="30"/>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2352"/>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blHeader/>
          <w:jc w:val="center"/>
        </w:trPr>
        <w:tc>
          <w:tcPr>
            <w:tcW w:w="1874" w:type="dxa"/>
            <w:vAlign w:val="center"/>
          </w:tcPr>
          <w:p>
            <w:pPr>
              <w:ind w:firstLine="420" w:firstLineChars="200"/>
              <w:jc w:val="both"/>
              <w:rPr>
                <w:sz w:val="21"/>
                <w:szCs w:val="21"/>
              </w:rPr>
            </w:pPr>
            <w:r>
              <w:rPr>
                <w:rFonts w:hint="eastAsia"/>
                <w:sz w:val="21"/>
                <w:szCs w:val="21"/>
              </w:rPr>
              <w:t>通信企业</w:t>
            </w:r>
          </w:p>
        </w:tc>
        <w:tc>
          <w:tcPr>
            <w:tcW w:w="2352" w:type="dxa"/>
            <w:vAlign w:val="center"/>
          </w:tcPr>
          <w:p>
            <w:pPr>
              <w:ind w:firstLine="420" w:firstLineChars="200"/>
              <w:jc w:val="both"/>
              <w:rPr>
                <w:sz w:val="21"/>
                <w:szCs w:val="21"/>
              </w:rPr>
            </w:pPr>
            <w:r>
              <w:rPr>
                <w:rFonts w:hint="eastAsia"/>
                <w:sz w:val="21"/>
                <w:szCs w:val="21"/>
              </w:rPr>
              <w:t>无线网络制式</w:t>
            </w:r>
          </w:p>
        </w:tc>
        <w:tc>
          <w:tcPr>
            <w:tcW w:w="4934" w:type="dxa"/>
            <w:vAlign w:val="center"/>
          </w:tcPr>
          <w:p>
            <w:pPr>
              <w:ind w:firstLine="420" w:firstLineChars="200"/>
              <w:jc w:val="both"/>
              <w:rPr>
                <w:sz w:val="21"/>
                <w:szCs w:val="21"/>
              </w:rPr>
            </w:pPr>
            <w:r>
              <w:rPr>
                <w:rFonts w:hint="eastAsia"/>
                <w:sz w:val="21"/>
                <w:szCs w:val="21"/>
              </w:rPr>
              <w:t>采用频率情况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restart"/>
            <w:vAlign w:val="center"/>
          </w:tcPr>
          <w:p>
            <w:pPr>
              <w:ind w:firstLine="420" w:firstLineChars="200"/>
              <w:jc w:val="both"/>
              <w:rPr>
                <w:sz w:val="21"/>
                <w:szCs w:val="21"/>
              </w:rPr>
            </w:pPr>
            <w:r>
              <w:rPr>
                <w:rFonts w:hint="eastAsia"/>
                <w:sz w:val="21"/>
                <w:szCs w:val="21"/>
              </w:rPr>
              <w:t>中国移动</w:t>
            </w: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GSM900</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889-909MHz (</w:t>
            </w:r>
            <w:r>
              <w:rPr>
                <w:rFonts w:hint="eastAsia" w:cs="Times New Roman"/>
                <w:sz w:val="21"/>
                <w:szCs w:val="21"/>
              </w:rPr>
              <w:t>上行</w:t>
            </w:r>
            <w:r>
              <w:rPr>
                <w:rFonts w:ascii="Times New Roman" w:hAnsi="Times New Roman" w:cs="Times New Roman"/>
                <w:sz w:val="21"/>
                <w:szCs w:val="21"/>
              </w:rPr>
              <w:t>)/934-954(</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GSM1800</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1710-1735MHz (</w:t>
            </w:r>
            <w:r>
              <w:rPr>
                <w:rFonts w:hint="eastAsia" w:cs="Times New Roman"/>
                <w:sz w:val="21"/>
                <w:szCs w:val="21"/>
              </w:rPr>
              <w:t>上行</w:t>
            </w:r>
            <w:r>
              <w:rPr>
                <w:rFonts w:ascii="Times New Roman" w:hAnsi="Times New Roman" w:cs="Times New Roman"/>
                <w:sz w:val="21"/>
                <w:szCs w:val="21"/>
              </w:rPr>
              <w:t>)/1805-1830(</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Merge w:val="restart"/>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TD-SCDMA</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A</w:t>
            </w:r>
            <w:r>
              <w:rPr>
                <w:rFonts w:hint="eastAsia" w:cs="Times New Roman"/>
                <w:sz w:val="21"/>
                <w:szCs w:val="21"/>
              </w:rPr>
              <w:t>频段：</w:t>
            </w:r>
            <w:r>
              <w:rPr>
                <w:rFonts w:ascii="Times New Roman" w:hAnsi="Times New Roman" w:cs="Times New Roman"/>
                <w:sz w:val="21"/>
                <w:szCs w:val="21"/>
              </w:rPr>
              <w:t>2010-2025MHz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Merge w:val="continue"/>
            <w:vAlign w:val="center"/>
          </w:tcPr>
          <w:p>
            <w:pPr>
              <w:jc w:val="both"/>
              <w:rPr>
                <w:rFonts w:ascii="Times New Roman" w:hAnsi="Times New Roman" w:cs="Times New Roman"/>
                <w:sz w:val="21"/>
                <w:szCs w:val="21"/>
              </w:rPr>
            </w:pP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F</w:t>
            </w:r>
            <w:r>
              <w:rPr>
                <w:rFonts w:hint="eastAsia" w:cs="Times New Roman"/>
                <w:sz w:val="21"/>
                <w:szCs w:val="21"/>
              </w:rPr>
              <w:t>频段：</w:t>
            </w:r>
            <w:r>
              <w:rPr>
                <w:rFonts w:ascii="Times New Roman" w:hAnsi="Times New Roman" w:cs="Times New Roman"/>
                <w:sz w:val="21"/>
                <w:szCs w:val="21"/>
              </w:rPr>
              <w:t>1880-1920MHz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Merge w:val="continue"/>
            <w:vAlign w:val="center"/>
          </w:tcPr>
          <w:p>
            <w:pPr>
              <w:jc w:val="both"/>
              <w:rPr>
                <w:rFonts w:ascii="Times New Roman" w:hAnsi="Times New Roman" w:cs="Times New Roman"/>
                <w:sz w:val="21"/>
                <w:szCs w:val="21"/>
              </w:rPr>
            </w:pP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E</w:t>
            </w:r>
            <w:r>
              <w:rPr>
                <w:rFonts w:hint="eastAsia" w:cs="Times New Roman"/>
                <w:sz w:val="21"/>
                <w:szCs w:val="21"/>
              </w:rPr>
              <w:t>频段：</w:t>
            </w:r>
            <w:r>
              <w:rPr>
                <w:rFonts w:ascii="Times New Roman" w:hAnsi="Times New Roman" w:cs="Times New Roman"/>
                <w:sz w:val="21"/>
                <w:szCs w:val="21"/>
              </w:rPr>
              <w:t>2320-2370MHz (</w:t>
            </w:r>
            <w:r>
              <w:rPr>
                <w:rFonts w:hint="eastAsia" w:cs="Times New Roman"/>
                <w:sz w:val="21"/>
                <w:szCs w:val="21"/>
              </w:rPr>
              <w:t>室内</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Merge w:val="restart"/>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TD-LTE</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F</w:t>
            </w:r>
            <w:r>
              <w:rPr>
                <w:rFonts w:hint="eastAsia" w:cs="Times New Roman"/>
                <w:sz w:val="21"/>
                <w:szCs w:val="21"/>
              </w:rPr>
              <w:t>频段：</w:t>
            </w:r>
            <w:r>
              <w:rPr>
                <w:rFonts w:ascii="Times New Roman" w:hAnsi="Times New Roman" w:cs="Times New Roman"/>
                <w:sz w:val="21"/>
                <w:szCs w:val="21"/>
              </w:rPr>
              <w:t>1880-1920MHz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Merge w:val="continue"/>
            <w:vAlign w:val="center"/>
          </w:tcPr>
          <w:p>
            <w:pPr>
              <w:ind w:firstLine="420" w:firstLineChars="200"/>
              <w:jc w:val="both"/>
              <w:rPr>
                <w:rFonts w:ascii="Times New Roman" w:hAnsi="Times New Roman" w:cs="Times New Roman"/>
                <w:sz w:val="21"/>
                <w:szCs w:val="21"/>
              </w:rPr>
            </w:pP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E</w:t>
            </w:r>
            <w:r>
              <w:rPr>
                <w:rFonts w:hint="eastAsia" w:cs="Times New Roman"/>
                <w:sz w:val="21"/>
                <w:szCs w:val="21"/>
              </w:rPr>
              <w:t>频段：</w:t>
            </w:r>
            <w:r>
              <w:rPr>
                <w:rFonts w:ascii="Times New Roman" w:hAnsi="Times New Roman" w:cs="Times New Roman"/>
                <w:sz w:val="21"/>
                <w:szCs w:val="21"/>
              </w:rPr>
              <w:t>2320-2370MHz(</w:t>
            </w:r>
            <w:r>
              <w:rPr>
                <w:rFonts w:hint="eastAsia" w:cs="Times New Roman"/>
                <w:sz w:val="21"/>
                <w:szCs w:val="21"/>
              </w:rPr>
              <w:t>室内</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Merge w:val="continue"/>
            <w:vAlign w:val="center"/>
          </w:tcPr>
          <w:p>
            <w:pPr>
              <w:jc w:val="both"/>
              <w:rPr>
                <w:rFonts w:ascii="Times New Roman" w:hAnsi="Times New Roman" w:cs="Times New Roman"/>
                <w:sz w:val="21"/>
                <w:szCs w:val="21"/>
              </w:rPr>
            </w:pP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D</w:t>
            </w:r>
            <w:r>
              <w:rPr>
                <w:rFonts w:hint="eastAsia" w:cs="Times New Roman"/>
                <w:sz w:val="21"/>
                <w:szCs w:val="21"/>
              </w:rPr>
              <w:t>频段：</w:t>
            </w:r>
            <w:r>
              <w:rPr>
                <w:rFonts w:ascii="Times New Roman" w:hAnsi="Times New Roman" w:cs="Times New Roman"/>
                <w:sz w:val="21"/>
                <w:szCs w:val="21"/>
              </w:rPr>
              <w:t>2575-2615MHz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rPr>
            </w:pPr>
          </w:p>
        </w:tc>
        <w:tc>
          <w:tcPr>
            <w:tcW w:w="2352" w:type="dxa"/>
            <w:vAlign w:val="center"/>
          </w:tcPr>
          <w:p>
            <w:pPr>
              <w:jc w:val="both"/>
              <w:rPr>
                <w:rFonts w:ascii="Times New Roman" w:hAnsi="Times New Roman" w:cs="Times New Roman"/>
                <w:sz w:val="21"/>
                <w:szCs w:val="21"/>
              </w:rPr>
            </w:pPr>
            <w:r>
              <w:rPr>
                <w:rFonts w:ascii="Times New Roman" w:hAnsi="Times New Roman" w:cs="Times New Roman"/>
                <w:sz w:val="21"/>
                <w:szCs w:val="21"/>
              </w:rPr>
              <w:t xml:space="preserve">       5G </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2515-2675MHz/4800-4900MHz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restart"/>
            <w:vAlign w:val="center"/>
          </w:tcPr>
          <w:p>
            <w:pPr>
              <w:ind w:firstLine="420" w:firstLineChars="200"/>
              <w:jc w:val="both"/>
              <w:rPr>
                <w:sz w:val="21"/>
                <w:szCs w:val="21"/>
              </w:rPr>
            </w:pPr>
            <w:r>
              <w:rPr>
                <w:rFonts w:hint="eastAsia"/>
                <w:sz w:val="21"/>
                <w:szCs w:val="21"/>
              </w:rPr>
              <w:t>中国电信</w:t>
            </w: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CDMA</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825-835MHz (</w:t>
            </w:r>
            <w:r>
              <w:rPr>
                <w:rFonts w:hint="eastAsia" w:cs="Times New Roman"/>
                <w:sz w:val="21"/>
                <w:szCs w:val="21"/>
              </w:rPr>
              <w:t>上行</w:t>
            </w:r>
            <w:r>
              <w:rPr>
                <w:rFonts w:ascii="Times New Roman" w:hAnsi="Times New Roman" w:cs="Times New Roman"/>
                <w:sz w:val="21"/>
                <w:szCs w:val="21"/>
              </w:rPr>
              <w:t>)/870-880(</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u w:val="single"/>
              </w:rPr>
            </w:pP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TD-LTE</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2370-2390MHz (</w:t>
            </w:r>
            <w:r>
              <w:rPr>
                <w:rFonts w:hint="eastAsia" w:cs="Times New Roman"/>
                <w:sz w:val="21"/>
                <w:szCs w:val="21"/>
              </w:rPr>
              <w:t>室内</w:t>
            </w:r>
            <w:r>
              <w:rPr>
                <w:rFonts w:ascii="Times New Roman" w:hAnsi="Times New Roman" w:cs="Times New Roman"/>
                <w:sz w:val="21"/>
                <w:szCs w:val="21"/>
              </w:rPr>
              <w:t>)</w:t>
            </w:r>
            <w:r>
              <w:rPr>
                <w:rFonts w:hint="eastAsia" w:cs="Times New Roman"/>
                <w:sz w:val="21"/>
                <w:szCs w:val="21"/>
              </w:rPr>
              <w:t>、</w:t>
            </w:r>
            <w:r>
              <w:rPr>
                <w:rFonts w:ascii="Times New Roman" w:hAnsi="Times New Roman" w:cs="Times New Roman"/>
                <w:sz w:val="21"/>
                <w:szCs w:val="21"/>
              </w:rPr>
              <w:t>2635-2655MHz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u w:val="single"/>
              </w:rPr>
            </w:pPr>
          </w:p>
        </w:tc>
        <w:tc>
          <w:tcPr>
            <w:tcW w:w="2352" w:type="dxa"/>
            <w:vMerge w:val="restart"/>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FDD-LTE</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1765-1780MHz (</w:t>
            </w:r>
            <w:r>
              <w:rPr>
                <w:rFonts w:hint="eastAsia" w:cs="Times New Roman"/>
                <w:sz w:val="21"/>
                <w:szCs w:val="21"/>
              </w:rPr>
              <w:t>上行</w:t>
            </w:r>
            <w:r>
              <w:rPr>
                <w:rFonts w:ascii="Times New Roman" w:hAnsi="Times New Roman" w:cs="Times New Roman"/>
                <w:sz w:val="21"/>
                <w:szCs w:val="21"/>
              </w:rPr>
              <w:t>)/1860-1875(</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u w:val="single"/>
              </w:rPr>
            </w:pPr>
          </w:p>
        </w:tc>
        <w:tc>
          <w:tcPr>
            <w:tcW w:w="2352" w:type="dxa"/>
            <w:vMerge w:val="continue"/>
            <w:vAlign w:val="center"/>
          </w:tcPr>
          <w:p>
            <w:pPr>
              <w:ind w:firstLine="420" w:firstLineChars="200"/>
              <w:jc w:val="both"/>
              <w:rPr>
                <w:rFonts w:ascii="Times New Roman" w:hAnsi="Times New Roman" w:cs="Times New Roman"/>
                <w:sz w:val="21"/>
                <w:szCs w:val="21"/>
              </w:rPr>
            </w:pP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1920-1935MHz (</w:t>
            </w:r>
            <w:r>
              <w:rPr>
                <w:rFonts w:hint="eastAsia" w:cs="Times New Roman"/>
                <w:sz w:val="21"/>
                <w:szCs w:val="21"/>
              </w:rPr>
              <w:t>上行</w:t>
            </w:r>
            <w:r>
              <w:rPr>
                <w:rFonts w:ascii="Times New Roman" w:hAnsi="Times New Roman" w:cs="Times New Roman"/>
                <w:sz w:val="21"/>
                <w:szCs w:val="21"/>
              </w:rPr>
              <w:t>)/2110-2125(</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u w:val="single"/>
              </w:rPr>
            </w:pPr>
          </w:p>
        </w:tc>
        <w:tc>
          <w:tcPr>
            <w:tcW w:w="2352" w:type="dxa"/>
            <w:vAlign w:val="center"/>
          </w:tcPr>
          <w:p>
            <w:pPr>
              <w:ind w:firstLine="630" w:firstLineChars="300"/>
              <w:jc w:val="both"/>
              <w:rPr>
                <w:rFonts w:ascii="Times New Roman" w:hAnsi="Times New Roman" w:cs="Times New Roman"/>
                <w:sz w:val="21"/>
                <w:szCs w:val="21"/>
              </w:rPr>
            </w:pPr>
            <w:r>
              <w:rPr>
                <w:rFonts w:ascii="Times New Roman" w:hAnsi="Times New Roman" w:cs="Times New Roman"/>
                <w:sz w:val="21"/>
                <w:szCs w:val="21"/>
              </w:rPr>
              <w:t xml:space="preserve">5G </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3400-3500MHz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restart"/>
            <w:vAlign w:val="center"/>
          </w:tcPr>
          <w:p>
            <w:pPr>
              <w:ind w:firstLine="420" w:firstLineChars="200"/>
              <w:jc w:val="both"/>
              <w:rPr>
                <w:sz w:val="21"/>
                <w:szCs w:val="21"/>
              </w:rPr>
            </w:pPr>
            <w:r>
              <w:rPr>
                <w:rFonts w:hint="eastAsia"/>
                <w:sz w:val="21"/>
                <w:szCs w:val="21"/>
              </w:rPr>
              <w:t>中国联通</w:t>
            </w: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GSM900</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909-915MHz (</w:t>
            </w:r>
            <w:r>
              <w:rPr>
                <w:rFonts w:hint="eastAsia" w:cs="Times New Roman"/>
                <w:sz w:val="21"/>
                <w:szCs w:val="21"/>
              </w:rPr>
              <w:t>上行</w:t>
            </w:r>
            <w:r>
              <w:rPr>
                <w:rFonts w:ascii="Times New Roman" w:hAnsi="Times New Roman" w:cs="Times New Roman"/>
                <w:sz w:val="21"/>
                <w:szCs w:val="21"/>
              </w:rPr>
              <w:t>)/954-960(</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u w:val="single"/>
              </w:rPr>
            </w:pP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GSM1800</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1735-1755MHz (</w:t>
            </w:r>
            <w:r>
              <w:rPr>
                <w:rFonts w:hint="eastAsia" w:cs="Times New Roman"/>
                <w:sz w:val="21"/>
                <w:szCs w:val="21"/>
              </w:rPr>
              <w:t>上行</w:t>
            </w:r>
            <w:r>
              <w:rPr>
                <w:rFonts w:ascii="Times New Roman" w:hAnsi="Times New Roman" w:cs="Times New Roman"/>
                <w:sz w:val="21"/>
                <w:szCs w:val="21"/>
              </w:rPr>
              <w:t>)/1830-1850(</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u w:val="single"/>
              </w:rPr>
            </w:pP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WCDMA</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1940-1955MHz(</w:t>
            </w:r>
            <w:r>
              <w:rPr>
                <w:rFonts w:hint="eastAsia" w:cs="Times New Roman"/>
                <w:sz w:val="21"/>
                <w:szCs w:val="21"/>
              </w:rPr>
              <w:t>上行</w:t>
            </w:r>
            <w:r>
              <w:rPr>
                <w:rFonts w:ascii="Times New Roman" w:hAnsi="Times New Roman" w:cs="Times New Roman"/>
                <w:sz w:val="21"/>
                <w:szCs w:val="21"/>
              </w:rPr>
              <w:t>)/2130-2145(</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74" w:type="dxa"/>
            <w:vMerge w:val="continue"/>
            <w:vAlign w:val="center"/>
          </w:tcPr>
          <w:p>
            <w:pPr>
              <w:jc w:val="both"/>
              <w:rPr>
                <w:sz w:val="21"/>
                <w:szCs w:val="21"/>
                <w:u w:val="single"/>
              </w:rPr>
            </w:pP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TD-LTE</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2300-2320MHz (</w:t>
            </w:r>
            <w:r>
              <w:rPr>
                <w:rFonts w:hint="eastAsia" w:cs="Times New Roman"/>
                <w:sz w:val="21"/>
                <w:szCs w:val="21"/>
              </w:rPr>
              <w:t>室内</w:t>
            </w:r>
            <w:r>
              <w:rPr>
                <w:rFonts w:ascii="Times New Roman" w:hAnsi="Times New Roman" w:cs="Times New Roman"/>
                <w:sz w:val="21"/>
                <w:szCs w:val="21"/>
              </w:rPr>
              <w:t>)</w:t>
            </w:r>
            <w:r>
              <w:rPr>
                <w:rFonts w:hint="eastAsia" w:cs="Times New Roman"/>
                <w:sz w:val="21"/>
                <w:szCs w:val="21"/>
              </w:rPr>
              <w:t>、</w:t>
            </w:r>
            <w:r>
              <w:rPr>
                <w:rFonts w:ascii="Times New Roman" w:hAnsi="Times New Roman" w:cs="Times New Roman"/>
                <w:sz w:val="21"/>
                <w:szCs w:val="21"/>
              </w:rPr>
              <w:t>2555-2575MHz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874" w:type="dxa"/>
            <w:vMerge w:val="continue"/>
            <w:vAlign w:val="center"/>
          </w:tcPr>
          <w:p>
            <w:pPr>
              <w:jc w:val="both"/>
              <w:rPr>
                <w:sz w:val="21"/>
                <w:szCs w:val="21"/>
                <w:u w:val="single"/>
              </w:rPr>
            </w:pPr>
          </w:p>
        </w:tc>
        <w:tc>
          <w:tcPr>
            <w:tcW w:w="2352"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LTE-FDD</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1755-1765MHz (</w:t>
            </w:r>
            <w:r>
              <w:rPr>
                <w:rFonts w:hint="eastAsia" w:cs="Times New Roman"/>
                <w:sz w:val="21"/>
                <w:szCs w:val="21"/>
              </w:rPr>
              <w:t>上行</w:t>
            </w:r>
            <w:r>
              <w:rPr>
                <w:rFonts w:ascii="Times New Roman" w:hAnsi="Times New Roman" w:cs="Times New Roman"/>
                <w:sz w:val="21"/>
                <w:szCs w:val="21"/>
              </w:rPr>
              <w:t>)/1850-1860(</w:t>
            </w:r>
            <w:r>
              <w:rPr>
                <w:rFonts w:hint="eastAsia" w:cs="Times New Roman"/>
                <w:sz w:val="21"/>
                <w:szCs w:val="21"/>
              </w:rPr>
              <w:t>下行</w:t>
            </w: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874" w:type="dxa"/>
            <w:vMerge w:val="continue"/>
            <w:vAlign w:val="center"/>
          </w:tcPr>
          <w:p>
            <w:pPr>
              <w:jc w:val="both"/>
              <w:rPr>
                <w:sz w:val="21"/>
                <w:szCs w:val="21"/>
                <w:u w:val="single"/>
              </w:rPr>
            </w:pPr>
          </w:p>
        </w:tc>
        <w:tc>
          <w:tcPr>
            <w:tcW w:w="2352" w:type="dxa"/>
            <w:vAlign w:val="center"/>
          </w:tcPr>
          <w:p>
            <w:pPr>
              <w:ind w:firstLine="630" w:firstLineChars="300"/>
              <w:jc w:val="both"/>
              <w:rPr>
                <w:rFonts w:ascii="Times New Roman" w:hAnsi="Times New Roman" w:cs="Times New Roman"/>
                <w:sz w:val="21"/>
                <w:szCs w:val="21"/>
              </w:rPr>
            </w:pPr>
            <w:r>
              <w:rPr>
                <w:rFonts w:ascii="Times New Roman" w:hAnsi="Times New Roman" w:cs="Times New Roman"/>
                <w:sz w:val="21"/>
                <w:szCs w:val="21"/>
              </w:rPr>
              <w:t xml:space="preserve">5G </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3500-3600MHz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874" w:type="dxa"/>
            <w:vAlign w:val="center"/>
          </w:tcPr>
          <w:p>
            <w:pPr>
              <w:jc w:val="both"/>
              <w:rPr>
                <w:sz w:val="21"/>
                <w:szCs w:val="21"/>
              </w:rPr>
            </w:pPr>
            <w:r>
              <w:rPr>
                <w:rFonts w:hint="eastAsia"/>
                <w:sz w:val="21"/>
                <w:szCs w:val="21"/>
              </w:rPr>
              <w:t>中国广电</w:t>
            </w:r>
          </w:p>
        </w:tc>
        <w:tc>
          <w:tcPr>
            <w:tcW w:w="2352" w:type="dxa"/>
            <w:vAlign w:val="center"/>
          </w:tcPr>
          <w:p>
            <w:pPr>
              <w:ind w:firstLine="630" w:firstLineChars="300"/>
              <w:jc w:val="both"/>
              <w:rPr>
                <w:rFonts w:ascii="Times New Roman" w:hAnsi="Times New Roman" w:cs="Times New Roman"/>
                <w:sz w:val="21"/>
                <w:szCs w:val="21"/>
              </w:rPr>
            </w:pPr>
            <w:r>
              <w:rPr>
                <w:rFonts w:ascii="Times New Roman" w:hAnsi="Times New Roman" w:cs="Times New Roman"/>
                <w:sz w:val="21"/>
                <w:szCs w:val="21"/>
              </w:rPr>
              <w:t>5G</w:t>
            </w:r>
          </w:p>
        </w:tc>
        <w:tc>
          <w:tcPr>
            <w:tcW w:w="4934" w:type="dxa"/>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702-798MHz/4900-5000MHz</w:t>
            </w:r>
          </w:p>
        </w:tc>
      </w:tr>
    </w:tbl>
    <w:p>
      <w:pPr>
        <w:widowControl w:val="0"/>
        <w:snapToGrid w:val="0"/>
        <w:spacing w:line="360" w:lineRule="auto"/>
        <w:contextualSpacing/>
        <w:jc w:val="both"/>
        <w:rPr>
          <w:rFonts w:ascii="Times New Roman" w:hAnsi="Times New Roman" w:cs="Times New Roman"/>
          <w:kern w:val="2"/>
        </w:rPr>
      </w:pPr>
    </w:p>
    <w:p>
      <w:pPr>
        <w:pStyle w:val="5"/>
      </w:pPr>
      <w:bookmarkStart w:id="172" w:name="_Toc56092771"/>
      <w:r>
        <w:rPr>
          <w:rFonts w:hint="eastAsia"/>
        </w:rPr>
        <w:t>从覆盖方面进行宏基站预测</w:t>
      </w:r>
      <w:bookmarkEnd w:id="172"/>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预测宏基站数量是指在一定成本和满足网络服务质量的前提下，使基站的数量能满足信号覆盖和用户容量两个方面的需求，并能适应未来网络发展和扩容的要求。规划从城市规划角度出发，主要从覆盖预测方面进行预测，容量预测、质量预测由各运营商优化基站布局时校核。</w:t>
      </w:r>
    </w:p>
    <w:p>
      <w:pPr>
        <w:pStyle w:val="5"/>
      </w:pPr>
      <w:bookmarkStart w:id="173" w:name="_Toc56092772"/>
      <w:r>
        <w:rPr>
          <w:rFonts w:hint="eastAsia"/>
        </w:rPr>
        <w:t>通过链路功率预算确定满足信号覆盖的宏基站站距。</w:t>
      </w:r>
      <w:bookmarkEnd w:id="173"/>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信号覆盖是指不考虑用户需求的情况下，基站发射信号所覆盖的最小和最大覆盖半径；在没有建筑物、山体遮挡的平坦区域，最大覆盖半径可达十多公里，因此，最大覆盖半径是控制的要点。不同制式因原理不一样，对链路的计算要求不一样，有以上行链路为主，也有以下行链路为主，也有制式须对上行、下行都进行复核。规划采用的计算方法是以功率预算为基础，对一条通信链路中的各种损耗和增益进行核算，计算链路所允许的最大传播损耗，结合传播模型确定基站的最小覆盖半径，进而得到满足信号覆盖的基站数量。</w:t>
      </w:r>
    </w:p>
    <w:p>
      <w:pPr>
        <w:pStyle w:val="3"/>
      </w:pPr>
      <w:bookmarkStart w:id="174" w:name="_Toc56092773"/>
      <w:r>
        <w:rPr>
          <w:rFonts w:hint="eastAsia"/>
        </w:rPr>
        <w:t>梁平智慧应用需求预测</w:t>
      </w:r>
      <w:bookmarkEnd w:id="174"/>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梁平智慧城市智慧应用建设需求主要包括城市治理、社区生活、产业服务、公共服务等方面。</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）城市治理：具体包括市政、交通、应急响应、城市管理等方面的信息化建设需求。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）社区生活：具体包括居家服务、社区生活、社区养老等方面的信息化建设需求。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）产业服务：具体包括能源、装备制造、创新创业等方面的信息化建设需求。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w:t>
      </w:r>
      <w:r>
        <w:rPr>
          <w:rFonts w:hint="eastAsia" w:ascii="Times New Roman" w:hAnsi="Times New Roman" w:cs="Times New Roman"/>
          <w:kern w:val="2"/>
        </w:rPr>
        <w:t>）公共服务：具体包括政务、医疗、文化教育、无人驾驶等方面的信息化建设需求。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对于梁平智慧应用规划将从以下几个方面考虑：</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）从智慧梁平规划建设角度考虑，本规划将着重对于城市空间与公共设施有一定要求的智慧应用，比如智慧市政、智慧交通、智慧物流、智慧能源等。</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）从梁平与上级平台或其他区域的互联互通角度考虑，部分智慧应用有专网建设需求，比如智慧政务、智慧教育、智慧医疗等。</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）对于其他以软件功能为主的智慧应用，需要充分考虑其对于梁平区域数据中心以及边缘计算等资源的需求。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智慧梁平智慧应用对数据承载通道的健壮性、安全性和及时性提出了更高的要求。</w:t>
      </w:r>
      <w:r>
        <w:rPr>
          <w:rFonts w:ascii="Times New Roman" w:hAnsi="Times New Roman" w:cs="Times New Roman"/>
          <w:kern w:val="2"/>
        </w:rPr>
        <w:t>2/3/4G</w:t>
      </w:r>
      <w:r>
        <w:rPr>
          <w:rFonts w:hint="eastAsia" w:ascii="Times New Roman" w:hAnsi="Times New Roman" w:cs="Times New Roman"/>
          <w:kern w:val="2"/>
        </w:rPr>
        <w:t>移动通信网络的速率、时延等存在一定的局限性，而</w:t>
      </w:r>
      <w:r>
        <w:rPr>
          <w:rFonts w:ascii="Times New Roman" w:hAnsi="Times New Roman" w:cs="Times New Roman"/>
          <w:kern w:val="2"/>
        </w:rPr>
        <w:t>5G</w:t>
      </w:r>
      <w:r>
        <w:rPr>
          <w:rFonts w:hint="eastAsia" w:ascii="Times New Roman" w:hAnsi="Times New Roman" w:cs="Times New Roman"/>
          <w:kern w:val="2"/>
        </w:rPr>
        <w:t>却可以补齐短板，充分满足智慧业务对网络性能的需求。</w:t>
      </w:r>
      <w:r>
        <w:rPr>
          <w:rFonts w:ascii="Times New Roman" w:hAnsi="Times New Roman" w:cs="Times New Roman"/>
          <w:kern w:val="2"/>
        </w:rPr>
        <w:br w:type="page"/>
      </w:r>
    </w:p>
    <w:p>
      <w:pPr>
        <w:pStyle w:val="2"/>
      </w:pPr>
      <w:bookmarkStart w:id="175" w:name="_Toc56092774"/>
      <w:r>
        <w:rPr>
          <w:rFonts w:hint="eastAsia"/>
        </w:rPr>
        <w:t>通信设施规划</w:t>
      </w:r>
      <w:bookmarkEnd w:id="175"/>
    </w:p>
    <w:p>
      <w:pPr>
        <w:pStyle w:val="3"/>
        <w:numPr>
          <w:ilvl w:val="0"/>
          <w:numId w:val="37"/>
        </w:numPr>
      </w:pPr>
      <w:bookmarkStart w:id="176" w:name="_Toc56092775"/>
      <w:r>
        <w:t>5G</w:t>
      </w:r>
      <w:r>
        <w:rPr>
          <w:rFonts w:hint="eastAsia"/>
        </w:rPr>
        <w:t>通信机房规划</w:t>
      </w:r>
      <w:bookmarkEnd w:id="176"/>
    </w:p>
    <w:p>
      <w:pPr>
        <w:pStyle w:val="5"/>
        <w:numPr>
          <w:ilvl w:val="0"/>
          <w:numId w:val="38"/>
        </w:numPr>
      </w:pPr>
      <w:bookmarkStart w:id="177" w:name="_Toc56092776"/>
      <w:r>
        <w:rPr>
          <w:rFonts w:hint="eastAsia"/>
        </w:rPr>
        <w:t>通信机房建设原则</w:t>
      </w:r>
      <w:bookmarkEnd w:id="177"/>
    </w:p>
    <w:p>
      <w:pPr>
        <w:pStyle w:val="6"/>
        <w:numPr>
          <w:ilvl w:val="0"/>
          <w:numId w:val="39"/>
        </w:numPr>
      </w:pPr>
      <w:r>
        <w:rPr>
          <w:rFonts w:hint="eastAsia"/>
        </w:rPr>
        <w:t>通信机房设置标准</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核心机房：各类业务网本地核心设备机房，包括移动网交换局、</w:t>
      </w:r>
      <w:r>
        <w:rPr>
          <w:rFonts w:ascii="Times New Roman" w:hAnsi="Times New Roman" w:cs="Times New Roman"/>
          <w:kern w:val="2"/>
        </w:rPr>
        <w:t>PSTN</w:t>
      </w:r>
      <w:r>
        <w:rPr>
          <w:rFonts w:hint="eastAsia" w:ascii="Times New Roman" w:hAnsi="Times New Roman" w:cs="Times New Roman"/>
          <w:kern w:val="2"/>
        </w:rPr>
        <w:t>汇接局、软交换</w:t>
      </w:r>
      <w:r>
        <w:rPr>
          <w:rFonts w:ascii="Times New Roman" w:hAnsi="Times New Roman" w:cs="Times New Roman"/>
          <w:kern w:val="2"/>
        </w:rPr>
        <w:t>TG</w:t>
      </w:r>
      <w:r>
        <w:rPr>
          <w:rFonts w:hint="eastAsia" w:ascii="Times New Roman" w:hAnsi="Times New Roman" w:cs="Times New Roman"/>
          <w:kern w:val="2"/>
        </w:rPr>
        <w:t>局、城域网</w:t>
      </w:r>
      <w:r>
        <w:rPr>
          <w:rFonts w:ascii="Times New Roman" w:hAnsi="Times New Roman" w:cs="Times New Roman"/>
          <w:kern w:val="2"/>
        </w:rPr>
        <w:t>IP</w:t>
      </w:r>
      <w:r>
        <w:rPr>
          <w:rFonts w:hint="eastAsia" w:ascii="Times New Roman" w:hAnsi="Times New Roman" w:cs="Times New Roman"/>
          <w:kern w:val="2"/>
        </w:rPr>
        <w:t>核心路由器等设备的设置地点。该类机房安全等级高，一般由运营商和中国广电自规自建。</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汇聚机房：本地网内各类业务汇聚设备所在机房，包括传输汇聚节点、</w:t>
      </w:r>
      <w:r>
        <w:rPr>
          <w:rFonts w:ascii="Times New Roman" w:hAnsi="Times New Roman" w:cs="Times New Roman"/>
          <w:kern w:val="2"/>
        </w:rPr>
        <w:t>PSTN</w:t>
      </w:r>
      <w:r>
        <w:rPr>
          <w:rFonts w:hint="eastAsia" w:ascii="Times New Roman" w:hAnsi="Times New Roman" w:cs="Times New Roman"/>
          <w:kern w:val="2"/>
        </w:rPr>
        <w:t>端局、</w:t>
      </w:r>
      <w:r>
        <w:rPr>
          <w:rFonts w:ascii="Times New Roman" w:hAnsi="Times New Roman" w:cs="Times New Roman"/>
          <w:kern w:val="2"/>
        </w:rPr>
        <w:t>IP</w:t>
      </w:r>
      <w:r>
        <w:rPr>
          <w:rFonts w:hint="eastAsia" w:ascii="Times New Roman" w:hAnsi="Times New Roman" w:cs="Times New Roman"/>
          <w:kern w:val="2"/>
        </w:rPr>
        <w:t>网汇聚节点或业务控制层</w:t>
      </w:r>
      <w:r>
        <w:rPr>
          <w:rFonts w:ascii="Times New Roman" w:hAnsi="Times New Roman" w:cs="Times New Roman"/>
          <w:kern w:val="2"/>
        </w:rPr>
        <w:t>(BRAS/SR)</w:t>
      </w:r>
      <w:r>
        <w:rPr>
          <w:rFonts w:hint="eastAsia" w:ascii="Times New Roman" w:hAnsi="Times New Roman" w:cs="Times New Roman"/>
          <w:kern w:val="2"/>
        </w:rPr>
        <w:t>等设备。建议使用面积一般不小于</w:t>
      </w:r>
      <w:r>
        <w:rPr>
          <w:rFonts w:ascii="Times New Roman" w:hAnsi="Times New Roman" w:cs="Times New Roman"/>
          <w:kern w:val="2"/>
        </w:rPr>
        <w:t>60</w:t>
      </w:r>
      <w:r>
        <w:rPr>
          <w:rFonts w:hint="eastAsia" w:ascii="Times New Roman" w:hAnsi="Times New Roman" w:cs="Times New Roman"/>
          <w:kern w:val="2"/>
        </w:rPr>
        <w:t>平方米。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综合业务接入机房：综合业务区内小范围业务收敛设备所在机房，包括</w:t>
      </w:r>
      <w:r>
        <w:rPr>
          <w:rFonts w:ascii="Times New Roman" w:hAnsi="Times New Roman" w:cs="Times New Roman"/>
          <w:kern w:val="2"/>
        </w:rPr>
        <w:t>BBU</w:t>
      </w:r>
      <w:r>
        <w:rPr>
          <w:rFonts w:hint="eastAsia" w:ascii="Times New Roman" w:hAnsi="Times New Roman" w:cs="Times New Roman"/>
          <w:kern w:val="2"/>
        </w:rPr>
        <w:t>池、</w:t>
      </w:r>
      <w:r>
        <w:rPr>
          <w:rFonts w:ascii="Times New Roman" w:hAnsi="Times New Roman" w:cs="Times New Roman"/>
          <w:kern w:val="2"/>
        </w:rPr>
        <w:t>OLT</w:t>
      </w:r>
      <w:r>
        <w:rPr>
          <w:rFonts w:hint="eastAsia" w:ascii="Times New Roman" w:hAnsi="Times New Roman" w:cs="Times New Roman"/>
          <w:kern w:val="2"/>
        </w:rPr>
        <w:t>、传输边缘等设备，是区域内传输汇聚节点的延伸，也是汇聚节点和末端接入点之间的衔接节点。建议使用面积</w:t>
      </w:r>
      <w:r>
        <w:rPr>
          <w:rFonts w:ascii="Times New Roman" w:hAnsi="Times New Roman" w:cs="Times New Roman"/>
          <w:kern w:val="2"/>
        </w:rPr>
        <w:t>30-50</w:t>
      </w:r>
      <w:r>
        <w:rPr>
          <w:rFonts w:hint="eastAsia" w:ascii="Times New Roman" w:hAnsi="Times New Roman" w:cs="Times New Roman"/>
          <w:kern w:val="2"/>
        </w:rPr>
        <w:t>平方米。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末端接入机房：各种业务的末端接入节点，用于移动基站、大客户、宽带接入点等业务设备的接入，灵活地通过各种技术接入到综合业务接入点。</w:t>
      </w:r>
    </w:p>
    <w:p>
      <w:pPr>
        <w:pStyle w:val="6"/>
        <w:numPr>
          <w:ilvl w:val="0"/>
          <w:numId w:val="39"/>
        </w:numPr>
      </w:pPr>
      <w:r>
        <w:rPr>
          <w:rFonts w:hint="eastAsia"/>
        </w:rPr>
        <w:t>通信机房选址原则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规划以骨干路由和系统要求为基础，结合业务的发展，综合考虑骨干网和城域网需求，合理选择地理位置建设机房。通信局所选址原则如下：</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应在管道资源丰富，管道线路比较多的交叉处建设机房，接入层网络环路大部</w:t>
      </w:r>
      <w:r>
        <w:rPr>
          <w:rFonts w:hint="eastAsia" w:ascii="Times New Roman" w:hAnsi="Times New Roman" w:cs="Times New Roman"/>
          <w:kern w:val="2"/>
          <w:lang w:eastAsia="zh-CN"/>
        </w:rPr>
        <w:t>分</w:t>
      </w:r>
      <w:bookmarkStart w:id="235" w:name="_GoBack"/>
      <w:bookmarkEnd w:id="235"/>
      <w:r>
        <w:rPr>
          <w:rFonts w:hint="eastAsia" w:ascii="Times New Roman" w:hAnsi="Times New Roman" w:cs="Times New Roman"/>
          <w:kern w:val="2"/>
        </w:rPr>
        <w:t>都能连到该节点，可以充分利用现有的管道和光缆，不需对现有的管道和光缆网络进行大规模调整。</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通信机房应选择在交通便利，车辆进出方便的地方。</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通信机房应满足相应的承重要求，对于不满足承重要求的机房，要对其后期建设提出加固要求。</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通信机房应选择电源接入较为方便的站址，尽量选择转供电，少用专电，以降低工程造价。</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通信机房应有安全环境，不应选择在生产及储备易燃、易爆材料的建筑物和堆积场附近。</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通信机房宜选在地形平坦、地质良好的地段；应避开断层、土坡边缘、故河道和有可能塌方、滑坡和有开采价值的地下矿藏或古迹遗址的地段；在不利地段应采取可靠措施。</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通信机房不应选择在易受洪水淹灌的地区。如无法避开时，可选在基地高程高于要求的计算洪水水位</w:t>
      </w:r>
      <w:r>
        <w:rPr>
          <w:rFonts w:ascii="Times New Roman" w:hAnsi="Times New Roman" w:cs="Times New Roman"/>
          <w:kern w:val="2"/>
        </w:rPr>
        <w:t>0.5m</w:t>
      </w:r>
      <w:r>
        <w:rPr>
          <w:rFonts w:hint="eastAsia" w:ascii="Times New Roman" w:hAnsi="Times New Roman" w:cs="Times New Roman"/>
          <w:kern w:val="2"/>
        </w:rPr>
        <w:t>以上的地方。</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通信机房应有较安静的环境，不宜选在城市广场、闹市地带、影剧院、汽车停车场或火车站以及发生较大震动和较强噪声的工业企业附近。</w:t>
      </w:r>
    </w:p>
    <w:p>
      <w:pPr>
        <w:widowControl w:val="0"/>
        <w:numPr>
          <w:ilvl w:val="0"/>
          <w:numId w:val="40"/>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应有较好的卫生环境，不宜选择在生产过程中散发有害气体、较多烟雾、粉尘、有害物质的工业企业附近。</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选址时应考虑邻近的高压变电站、高压输电线铁塔、交流电气化铁道、广播电视、雷达、无线电发射台等干扰源的影响。应满足通信安全保密、国防、人防、消防等要求。</w:t>
      </w:r>
    </w:p>
    <w:p>
      <w:pPr>
        <w:pStyle w:val="6"/>
        <w:numPr>
          <w:ilvl w:val="0"/>
          <w:numId w:val="39"/>
        </w:numPr>
      </w:pPr>
      <w:r>
        <w:t>5G</w:t>
      </w:r>
      <w:r>
        <w:rPr>
          <w:rFonts w:hint="eastAsia"/>
        </w:rPr>
        <w:t>接入机房规划思路</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综合业务接入区内需设置</w:t>
      </w:r>
      <w:r>
        <w:rPr>
          <w:rFonts w:ascii="Times New Roman" w:hAnsi="Times New Roman" w:cs="Times New Roman"/>
          <w:kern w:val="2"/>
        </w:rPr>
        <w:t>5G</w:t>
      </w:r>
      <w:r>
        <w:rPr>
          <w:rFonts w:hint="eastAsia" w:ascii="Times New Roman" w:hAnsi="Times New Roman" w:cs="Times New Roman"/>
          <w:kern w:val="2"/>
        </w:rPr>
        <w:t>接入机房数量，与区内业务量、机房面积条件、接入主干光缆建设模式等关系密切。</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接入机房面积需求测算，应综合考虑所在综合业务接入区业务量、接入主干组网模式、设备组网模式对机房装机面积的要求，适当考虑空间预留，以满足长期发展需求。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根据</w:t>
      </w:r>
      <w:r>
        <w:rPr>
          <w:rFonts w:ascii="Times New Roman" w:hAnsi="Times New Roman" w:cs="Times New Roman"/>
          <w:kern w:val="2"/>
        </w:rPr>
        <w:t>5G</w:t>
      </w:r>
      <w:r>
        <w:rPr>
          <w:rFonts w:hint="eastAsia" w:ascii="Times New Roman" w:hAnsi="Times New Roman" w:cs="Times New Roman"/>
          <w:kern w:val="2"/>
        </w:rPr>
        <w:t>三大业务场景的特点，时延指标是影响机房的位置布局的关键因素。考虑</w:t>
      </w:r>
      <w:r>
        <w:rPr>
          <w:rFonts w:ascii="Times New Roman" w:hAnsi="Times New Roman" w:cs="Times New Roman"/>
          <w:kern w:val="2"/>
        </w:rPr>
        <w:t>5G+MEC</w:t>
      </w:r>
      <w:r>
        <w:rPr>
          <w:rFonts w:hint="eastAsia" w:ascii="Times New Roman" w:hAnsi="Times New Roman" w:cs="Times New Roman"/>
          <w:kern w:val="2"/>
        </w:rPr>
        <w:t>的组合技术应用，以及</w:t>
      </w:r>
      <w:r>
        <w:rPr>
          <w:rFonts w:ascii="Times New Roman" w:hAnsi="Times New Roman" w:cs="Times New Roman"/>
          <w:kern w:val="2"/>
        </w:rPr>
        <w:t>uRLLC</w:t>
      </w:r>
      <w:r>
        <w:rPr>
          <w:rFonts w:hint="eastAsia" w:ascii="Times New Roman" w:hAnsi="Times New Roman" w:cs="Times New Roman"/>
          <w:kern w:val="2"/>
        </w:rPr>
        <w:t>业务要求时延小于</w:t>
      </w:r>
      <w:r>
        <w:rPr>
          <w:rFonts w:ascii="Times New Roman" w:hAnsi="Times New Roman" w:cs="Times New Roman"/>
          <w:kern w:val="2"/>
        </w:rPr>
        <w:t>1ms</w:t>
      </w:r>
      <w:r>
        <w:rPr>
          <w:rFonts w:hint="eastAsia" w:ascii="Times New Roman" w:hAnsi="Times New Roman" w:cs="Times New Roman"/>
          <w:kern w:val="2"/>
        </w:rPr>
        <w:t>等，梁平</w:t>
      </w:r>
      <w:r>
        <w:rPr>
          <w:rFonts w:ascii="Times New Roman" w:hAnsi="Times New Roman" w:cs="Times New Roman"/>
          <w:kern w:val="2"/>
        </w:rPr>
        <w:t>5G</w:t>
      </w:r>
      <w:r>
        <w:rPr>
          <w:rFonts w:hint="eastAsia" w:ascii="Times New Roman" w:hAnsi="Times New Roman" w:cs="Times New Roman"/>
          <w:kern w:val="2"/>
        </w:rPr>
        <w:t>接入机房覆盖半径不超过</w:t>
      </w:r>
      <w:r>
        <w:rPr>
          <w:rFonts w:ascii="Times New Roman" w:hAnsi="Times New Roman" w:cs="Times New Roman"/>
          <w:kern w:val="2"/>
        </w:rPr>
        <w:t>3km</w:t>
      </w:r>
      <w:r>
        <w:rPr>
          <w:rFonts w:hint="eastAsia" w:ascii="Times New Roman" w:hAnsi="Times New Roman" w:cs="Times New Roman"/>
          <w:kern w:val="2"/>
        </w:rPr>
        <w:t>。</w:t>
      </w:r>
    </w:p>
    <w:p>
      <w:pPr>
        <w:pStyle w:val="5"/>
      </w:pPr>
      <w:bookmarkStart w:id="178" w:name="_Toc56092777"/>
      <w:r>
        <w:rPr>
          <w:rFonts w:hint="eastAsia"/>
        </w:rPr>
        <w:t>通信机房规划成果</w:t>
      </w:r>
      <w:bookmarkEnd w:id="178"/>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接入机房为综合业务接入区内小范围业务收敛设备所在机房，包括集中设置</w:t>
      </w:r>
      <w:r>
        <w:rPr>
          <w:rFonts w:ascii="Times New Roman" w:hAnsi="Times New Roman" w:cs="Times New Roman"/>
          <w:kern w:val="2"/>
        </w:rPr>
        <w:t>BBU</w:t>
      </w:r>
      <w:r>
        <w:rPr>
          <w:rFonts w:hint="eastAsia" w:ascii="Times New Roman" w:hAnsi="Times New Roman" w:cs="Times New Roman"/>
          <w:kern w:val="2"/>
        </w:rPr>
        <w:t>、</w:t>
      </w:r>
      <w:r>
        <w:rPr>
          <w:rFonts w:ascii="Times New Roman" w:hAnsi="Times New Roman" w:cs="Times New Roman"/>
          <w:kern w:val="2"/>
        </w:rPr>
        <w:t>OLT</w:t>
      </w:r>
      <w:r>
        <w:rPr>
          <w:rFonts w:hint="eastAsia" w:ascii="Times New Roman" w:hAnsi="Times New Roman" w:cs="Times New Roman"/>
          <w:kern w:val="2"/>
        </w:rPr>
        <w:t>、传输二级汇聚等设备，是区域内传输汇聚节点的延伸，也是汇聚节点和末端接入点之间的衔接节点。</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30" o:spt="75" type="#_x0000_t75" style="height:170.25pt;width:404.25pt;" filled="f" o:preferrelative="t" stroked="f" coordsize="21600,21600">
            <v:path/>
            <v:fill on="f" focussize="0,0"/>
            <v:stroke on="f" joinstyle="miter"/>
            <v:imagedata r:id="rId20" o:title=""/>
            <o:lock v:ext="edit" aspectratio="t"/>
            <w10:wrap type="none"/>
            <w10:anchorlock/>
          </v:shape>
        </w:pict>
      </w:r>
    </w:p>
    <w:p>
      <w:pPr>
        <w:pStyle w:val="8"/>
        <w:spacing w:before="48" w:after="48"/>
      </w:pPr>
      <w:r>
        <w:rPr>
          <w:rFonts w:hint="eastAsia"/>
        </w:rPr>
        <w:t>图</w:t>
      </w:r>
      <w:r>
        <w:t>6-1 5G</w:t>
      </w:r>
      <w:r>
        <w:rPr>
          <w:rFonts w:hint="eastAsia"/>
        </w:rPr>
        <w:t>综合业务接入点服务范围示意图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根据运营商的机房建需求，规划期内梁平区共新建</w:t>
      </w:r>
      <w:r>
        <w:rPr>
          <w:rFonts w:ascii="Times New Roman" w:hAnsi="Times New Roman" w:cs="Times New Roman"/>
          <w:kern w:val="2"/>
        </w:rPr>
        <w:t>5G</w:t>
      </w:r>
      <w:r>
        <w:rPr>
          <w:rFonts w:hint="eastAsia" w:ascii="Times New Roman" w:hAnsi="Times New Roman" w:cs="Times New Roman"/>
          <w:kern w:val="2"/>
        </w:rPr>
        <w:t>综合业务接入机房</w:t>
      </w:r>
      <w:r>
        <w:rPr>
          <w:rFonts w:ascii="Times New Roman" w:hAnsi="Times New Roman" w:cs="Times New Roman"/>
          <w:kern w:val="2"/>
        </w:rPr>
        <w:t>65</w:t>
      </w:r>
      <w:r>
        <w:rPr>
          <w:rFonts w:hint="eastAsia" w:ascii="Times New Roman" w:hAnsi="Times New Roman" w:cs="Times New Roman"/>
          <w:kern w:val="2"/>
        </w:rPr>
        <w:t>个，其中新建机房</w:t>
      </w:r>
      <w:r>
        <w:rPr>
          <w:rFonts w:ascii="Times New Roman" w:hAnsi="Times New Roman" w:cs="Times New Roman"/>
          <w:kern w:val="2"/>
        </w:rPr>
        <w:t>46</w:t>
      </w:r>
      <w:r>
        <w:rPr>
          <w:rFonts w:hint="eastAsia" w:ascii="Times New Roman" w:hAnsi="Times New Roman" w:cs="Times New Roman"/>
          <w:kern w:val="2"/>
        </w:rPr>
        <w:t>个，改造升级现有机房</w:t>
      </w:r>
      <w:r>
        <w:rPr>
          <w:rFonts w:ascii="Times New Roman" w:hAnsi="Times New Roman" w:cs="Times New Roman"/>
          <w:kern w:val="2"/>
        </w:rPr>
        <w:t>19</w:t>
      </w:r>
      <w:r>
        <w:rPr>
          <w:rFonts w:hint="eastAsia" w:ascii="Times New Roman" w:hAnsi="Times New Roman" w:cs="Times New Roman"/>
          <w:kern w:val="2"/>
        </w:rPr>
        <w:t>个，分布在梁山老城区、双桂新城区、梁平北站等。</w:t>
      </w:r>
    </w:p>
    <w:p>
      <w:pPr>
        <w:pStyle w:val="8"/>
        <w:spacing w:before="48" w:after="48"/>
      </w:pPr>
      <w:r>
        <w:rPr>
          <w:rFonts w:hint="eastAsia"/>
        </w:rPr>
        <w:t>表</w:t>
      </w:r>
      <w:r>
        <w:t>6-1</w:t>
      </w:r>
      <w:r>
        <w:rPr>
          <w:rFonts w:hint="eastAsia"/>
        </w:rPr>
        <w:t>梁平区规划</w:t>
      </w:r>
      <w:r>
        <w:t>5G</w:t>
      </w:r>
      <w:r>
        <w:rPr>
          <w:rFonts w:hint="eastAsia"/>
        </w:rPr>
        <w:t>综合接入机房列表</w:t>
      </w:r>
    </w:p>
    <w:tbl>
      <w:tblPr>
        <w:tblStyle w:val="30"/>
        <w:tblW w:w="9260" w:type="dxa"/>
        <w:tblInd w:w="113" w:type="dxa"/>
        <w:tblLayout w:type="autofit"/>
        <w:tblCellMar>
          <w:top w:w="0" w:type="dxa"/>
          <w:left w:w="108" w:type="dxa"/>
          <w:bottom w:w="0" w:type="dxa"/>
          <w:right w:w="108" w:type="dxa"/>
        </w:tblCellMar>
      </w:tblPr>
      <w:tblGrid>
        <w:gridCol w:w="680"/>
        <w:gridCol w:w="2180"/>
        <w:gridCol w:w="1116"/>
        <w:gridCol w:w="1026"/>
        <w:gridCol w:w="760"/>
        <w:gridCol w:w="1220"/>
        <w:gridCol w:w="960"/>
        <w:gridCol w:w="1340"/>
      </w:tblGrid>
      <w:tr>
        <w:tblPrEx>
          <w:tblCellMar>
            <w:top w:w="0" w:type="dxa"/>
            <w:left w:w="108" w:type="dxa"/>
            <w:bottom w:w="0" w:type="dxa"/>
            <w:right w:w="108" w:type="dxa"/>
          </w:tblCellMar>
        </w:tblPrEx>
        <w:trPr>
          <w:trHeight w:val="280" w:hRule="atLeast"/>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序号</w:t>
            </w:r>
          </w:p>
        </w:tc>
        <w:tc>
          <w:tcPr>
            <w:tcW w:w="218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名称</w:t>
            </w:r>
          </w:p>
        </w:tc>
        <w:tc>
          <w:tcPr>
            <w:tcW w:w="110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经度</w:t>
            </w:r>
          </w:p>
        </w:tc>
        <w:tc>
          <w:tcPr>
            <w:tcW w:w="102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纬度</w:t>
            </w:r>
          </w:p>
        </w:tc>
        <w:tc>
          <w:tcPr>
            <w:tcW w:w="76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场景</w:t>
            </w:r>
          </w:p>
        </w:tc>
        <w:tc>
          <w:tcPr>
            <w:tcW w:w="122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属性</w:t>
            </w:r>
          </w:p>
        </w:tc>
        <w:tc>
          <w:tcPr>
            <w:tcW w:w="96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业务需求</w:t>
            </w:r>
          </w:p>
        </w:tc>
        <w:tc>
          <w:tcPr>
            <w:tcW w:w="1340"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b/>
                <w:bCs/>
                <w:color w:val="000000"/>
                <w:sz w:val="18"/>
                <w:szCs w:val="18"/>
              </w:rPr>
            </w:pPr>
            <w:r>
              <w:rPr>
                <w:rFonts w:hint="eastAsia" w:ascii="等线" w:hAnsi="等线" w:eastAsia="等线"/>
                <w:b/>
                <w:bCs/>
                <w:color w:val="000000"/>
                <w:sz w:val="18"/>
                <w:szCs w:val="18"/>
              </w:rPr>
              <w:t>机房面积</w:t>
            </w:r>
            <w:r>
              <w:rPr>
                <w:rFonts w:ascii="等线" w:hAnsi="等线" w:eastAsia="等线"/>
                <w:b/>
                <w:bCs/>
                <w:color w:val="000000"/>
                <w:sz w:val="18"/>
                <w:szCs w:val="18"/>
              </w:rPr>
              <w:t>(m</w:t>
            </w:r>
            <w:r>
              <w:rPr>
                <w:rFonts w:hint="eastAsia" w:ascii="等线" w:hAnsi="等线" w:eastAsia="等线"/>
                <w:b/>
                <w:bCs/>
                <w:color w:val="000000"/>
                <w:sz w:val="18"/>
                <w:szCs w:val="18"/>
              </w:rPr>
              <w:t>²</w:t>
            </w:r>
            <w:r>
              <w:rPr>
                <w:rFonts w:ascii="等线" w:hAnsi="等线" w:eastAsia="等线"/>
                <w:b/>
                <w:bCs/>
                <w:color w:val="000000"/>
                <w:sz w:val="18"/>
                <w:szCs w:val="18"/>
              </w:rPr>
              <w:t>)</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梁平东方天籁机房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107.76059</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30.652813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梁平公交总站</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107.766547</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30.646352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梁平新城颂回居房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107.739681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30.670439</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梁平亿联智慧小镇</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107.743697</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30.667315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梁平游泳馆</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107.739537</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30.648461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梁平月桂路路口</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107.755906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30.648884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7</w:t>
            </w:r>
          </w:p>
        </w:tc>
        <w:tc>
          <w:tcPr>
            <w:tcW w:w="218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梁平特区饲料路口</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107.732938</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30.673457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8</w:t>
            </w:r>
          </w:p>
        </w:tc>
        <w:tc>
          <w:tcPr>
            <w:tcW w:w="2180" w:type="dxa"/>
            <w:tcBorders>
              <w:top w:val="nil"/>
              <w:left w:val="nil"/>
              <w:bottom w:val="single" w:color="auto" w:sz="4" w:space="0"/>
              <w:right w:val="single" w:color="auto" w:sz="4" w:space="0"/>
            </w:tcBorders>
            <w:shd w:val="clear" w:color="000000" w:fill="FFFFFF"/>
            <w:noWrap/>
            <w:vAlign w:val="center"/>
          </w:tcPr>
          <w:p>
            <w:pPr>
              <w:rPr>
                <w:rFonts w:ascii="等线" w:hAnsi="等线" w:eastAsia="等线"/>
                <w:color w:val="000000"/>
                <w:sz w:val="18"/>
                <w:szCs w:val="18"/>
              </w:rPr>
            </w:pPr>
            <w:r>
              <w:rPr>
                <w:rFonts w:hint="eastAsia" w:ascii="等线" w:hAnsi="等线" w:eastAsia="等线"/>
                <w:color w:val="000000"/>
                <w:sz w:val="18"/>
                <w:szCs w:val="18"/>
              </w:rPr>
              <w:t>梁平知德小学</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107.743342</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30.655536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梁平农机产业园机房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107.732655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30.661078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梁平智慧小镇机房规划</w:t>
            </w:r>
            <w:r>
              <w:rPr>
                <w:rFonts w:ascii="等线" w:hAnsi="等线" w:eastAsia="等线"/>
                <w:color w:val="000000"/>
                <w:sz w:val="18"/>
                <w:szCs w:val="18"/>
              </w:rPr>
              <w:t>1</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107.742994</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30.673995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梁平智慧小镇机房规划</w:t>
            </w:r>
            <w:r>
              <w:rPr>
                <w:rFonts w:ascii="等线" w:hAnsi="等线" w:eastAsia="等线"/>
                <w:color w:val="000000"/>
                <w:sz w:val="18"/>
                <w:szCs w:val="18"/>
              </w:rPr>
              <w:t>2</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107.750526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30.681704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梁平智慧小镇机房规划</w:t>
            </w:r>
            <w:r>
              <w:rPr>
                <w:rFonts w:ascii="等线" w:hAnsi="等线" w:eastAsia="等线"/>
                <w:color w:val="000000"/>
                <w:sz w:val="18"/>
                <w:szCs w:val="18"/>
              </w:rPr>
              <w:t>3</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107.755141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30.668091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梁平火车北站机房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107.81343</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30.716165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梁平扈家巷</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107.800001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30.683333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梁平祥和小区</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107.795555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30.678333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梁平中学宿舍机房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107.770277</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30.664167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梁平隆鑫花漾城机房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107.766511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30.648391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梁平世纪商投</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107.760591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30.662391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19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梁平亿联二期机房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107.741393</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30.666555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梁平亿联开发部机房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107.742971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30.662982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梁平红旗中学</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107.804166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30.669167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梁平黄桷树</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107.777222</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30.666667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梁平职教中心</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107.809216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30.694194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梁平东门体育馆</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107.811831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30.678455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梁平梁山初中</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107.788949</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30.670001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梁平区公安局</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107.781802</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30.658418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梁平市民服务中心机房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107.763731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30.655451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梁平平伟集团机房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107.753188</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30.660278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29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梁平安福路口机房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107.726106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30.666431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梁平福德大道机房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107.732395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30.655903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梁平双桂湖管理处</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107.750993</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30.648976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梁平兴茂盛世华都机房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107.776418</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30.659145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县城</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现网改造</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近期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梁平聚奎机房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107.595465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30.636134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梁平柏家机房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107.905803</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30.591124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梁平紫照机房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107.936668</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30.534503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梁平石安机房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107.976266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30.591515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梁平曲水机房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108.047408</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30.69735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梁平七星机房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107.482291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30.680549</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梁平铁门机房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107.709679</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30.500937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梁平荫平机房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107.575933</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30.540251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梁平蟠龙机房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107.848506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30.635053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梁平回龙机房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107.482581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30.531602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梁平和林机房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107.68048</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30.582157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梁平竹山机房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107.576045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30.717318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梁平碧山机房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107.457334</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30.770576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梁平虎城机房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107.541099</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30.813973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梁平明达机房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107.658222</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30.726868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梁平龙门机房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107.687564</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30.797444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49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梁平复平机房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107.87984</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30.771968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梁平仁贤机房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107.678215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30.661034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梁平礼让机房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107.63346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30.685656</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梁平袁驿机房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107.513577</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30.740692</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梁平新盛机房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107.725075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30.845313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梁平文化机房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107.774888</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30.81465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梁平福禄机房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107.968162</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30.656565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56</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梁平双桂机房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107.702805</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30.605493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57</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梁平大观机房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107.808409</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30.557035</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58</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梁平云龙机房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107.643213</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30.524553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59</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梁平屏锦机房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107.543791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30.6041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50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60</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梁平合兴新增机房</w:t>
            </w:r>
            <w:r>
              <w:rPr>
                <w:rFonts w:ascii="等线" w:hAnsi="等线" w:eastAsia="等线"/>
                <w:color w:val="000000"/>
                <w:sz w:val="18"/>
                <w:szCs w:val="18"/>
              </w:rPr>
              <w:t>1</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107.841146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30.721847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61</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梁平合兴新增机房</w:t>
            </w:r>
            <w:r>
              <w:rPr>
                <w:rFonts w:ascii="等线" w:hAnsi="等线" w:eastAsia="等线"/>
                <w:color w:val="000000"/>
                <w:sz w:val="18"/>
                <w:szCs w:val="18"/>
              </w:rPr>
              <w:t>2</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107.821331</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30.744333</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62</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梁平合兴新增机房</w:t>
            </w:r>
            <w:r>
              <w:rPr>
                <w:rFonts w:ascii="等线" w:hAnsi="等线" w:eastAsia="等线"/>
                <w:color w:val="000000"/>
                <w:sz w:val="18"/>
                <w:szCs w:val="18"/>
              </w:rPr>
              <w:t>3</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107.90959</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30.718364</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63</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梁平星桥新增机房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107.768012</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30.730501</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64</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梁平安盛新增机房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107.719166</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30.6917</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r>
        <w:tblPrEx>
          <w:tblCellMar>
            <w:top w:w="0" w:type="dxa"/>
            <w:left w:w="108" w:type="dxa"/>
            <w:bottom w:w="0" w:type="dxa"/>
            <w:right w:w="108" w:type="dxa"/>
          </w:tblCellMar>
        </w:tblPrEx>
        <w:trPr>
          <w:trHeight w:val="280" w:hRule="atLeast"/>
        </w:trPr>
        <w:tc>
          <w:tcPr>
            <w:tcW w:w="680"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65</w:t>
            </w:r>
          </w:p>
        </w:tc>
        <w:tc>
          <w:tcPr>
            <w:tcW w:w="218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hint="eastAsia" w:ascii="等线" w:hAnsi="等线" w:eastAsia="等线"/>
                <w:color w:val="000000"/>
                <w:sz w:val="18"/>
                <w:szCs w:val="18"/>
              </w:rPr>
              <w:t>梁平龙胜机房</w:t>
            </w:r>
          </w:p>
        </w:tc>
        <w:tc>
          <w:tcPr>
            <w:tcW w:w="110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107.565492</w:t>
            </w:r>
          </w:p>
        </w:tc>
        <w:tc>
          <w:tcPr>
            <w:tcW w:w="1020" w:type="dxa"/>
            <w:tcBorders>
              <w:top w:val="nil"/>
              <w:left w:val="nil"/>
              <w:bottom w:val="single" w:color="auto" w:sz="4" w:space="0"/>
              <w:right w:val="single" w:color="auto" w:sz="4" w:space="0"/>
            </w:tcBorders>
            <w:noWrap/>
            <w:vAlign w:val="center"/>
          </w:tcPr>
          <w:p>
            <w:pPr>
              <w:rPr>
                <w:rFonts w:ascii="等线" w:hAnsi="等线" w:eastAsia="等线"/>
                <w:color w:val="000000"/>
                <w:sz w:val="18"/>
                <w:szCs w:val="18"/>
              </w:rPr>
            </w:pPr>
            <w:r>
              <w:rPr>
                <w:rFonts w:ascii="等线" w:hAnsi="等线" w:eastAsia="等线"/>
                <w:color w:val="000000"/>
                <w:sz w:val="18"/>
                <w:szCs w:val="18"/>
              </w:rPr>
              <w:t>30.779578</w:t>
            </w:r>
          </w:p>
        </w:tc>
        <w:tc>
          <w:tcPr>
            <w:tcW w:w="7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乡镇</w:t>
            </w:r>
          </w:p>
        </w:tc>
        <w:tc>
          <w:tcPr>
            <w:tcW w:w="122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新建</w:t>
            </w:r>
          </w:p>
        </w:tc>
        <w:tc>
          <w:tcPr>
            <w:tcW w:w="96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hint="eastAsia" w:ascii="等线" w:hAnsi="等线" w:eastAsia="等线"/>
                <w:color w:val="000000"/>
                <w:sz w:val="18"/>
                <w:szCs w:val="18"/>
              </w:rPr>
              <w:t>远期</w:t>
            </w:r>
          </w:p>
        </w:tc>
        <w:tc>
          <w:tcPr>
            <w:tcW w:w="1340"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18"/>
                <w:szCs w:val="18"/>
              </w:rPr>
            </w:pPr>
            <w:r>
              <w:rPr>
                <w:rFonts w:ascii="等线" w:hAnsi="等线" w:eastAsia="等线"/>
                <w:color w:val="000000"/>
                <w:sz w:val="18"/>
                <w:szCs w:val="18"/>
              </w:rPr>
              <w:t>30</w:t>
            </w:r>
          </w:p>
        </w:tc>
      </w:tr>
    </w:tbl>
    <w:p>
      <w:pPr>
        <w:widowControl w:val="0"/>
        <w:spacing w:line="360" w:lineRule="auto"/>
        <w:ind w:firstLine="480" w:firstLineChars="200"/>
        <w:jc w:val="both"/>
        <w:rPr>
          <w:rFonts w:ascii="Times New Roman" w:hAnsi="Times New Roman" w:cs="Times New Roman"/>
          <w:kern w:val="2"/>
        </w:rPr>
      </w:pPr>
    </w:p>
    <w:p>
      <w:pPr>
        <w:pStyle w:val="3"/>
      </w:pPr>
      <w:bookmarkStart w:id="179" w:name="_Toc56092778"/>
      <w:r>
        <w:t>5G</w:t>
      </w:r>
      <w:r>
        <w:rPr>
          <w:rFonts w:hint="eastAsia"/>
        </w:rPr>
        <w:t>通信基站规划</w:t>
      </w:r>
      <w:bookmarkEnd w:id="179"/>
    </w:p>
    <w:p>
      <w:pPr>
        <w:pStyle w:val="5"/>
        <w:numPr>
          <w:ilvl w:val="0"/>
          <w:numId w:val="41"/>
        </w:numPr>
      </w:pPr>
      <w:bookmarkStart w:id="180" w:name="_Toc56092779"/>
      <w:bookmarkStart w:id="181" w:name="_Toc452964684"/>
      <w:r>
        <w:rPr>
          <w:rFonts w:hint="eastAsia"/>
        </w:rPr>
        <w:t>移动通信系统及其分析</w:t>
      </w:r>
      <w:bookmarkEnd w:id="180"/>
      <w:bookmarkEnd w:id="181"/>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中国移动通信事业发展始于</w:t>
      </w:r>
      <w:r>
        <w:rPr>
          <w:rFonts w:ascii="Times New Roman" w:hAnsi="Times New Roman" w:cs="Times New Roman"/>
          <w:kern w:val="2"/>
        </w:rPr>
        <w:t>20</w:t>
      </w:r>
      <w:r>
        <w:rPr>
          <w:rFonts w:hint="eastAsia" w:ascii="Times New Roman" w:hAnsi="Times New Roman" w:cs="Times New Roman"/>
          <w:kern w:val="2"/>
        </w:rPr>
        <w:t>世纪</w:t>
      </w:r>
      <w:r>
        <w:rPr>
          <w:rFonts w:ascii="Times New Roman" w:hAnsi="Times New Roman" w:cs="Times New Roman"/>
          <w:kern w:val="2"/>
        </w:rPr>
        <w:t>80</w:t>
      </w:r>
      <w:r>
        <w:rPr>
          <w:rFonts w:hint="eastAsia" w:ascii="Times New Roman" w:hAnsi="Times New Roman" w:cs="Times New Roman"/>
          <w:kern w:val="2"/>
        </w:rPr>
        <w:t>年代，在短短</w:t>
      </w:r>
      <w:r>
        <w:rPr>
          <w:rFonts w:ascii="Times New Roman" w:hAnsi="Times New Roman" w:cs="Times New Roman"/>
          <w:kern w:val="2"/>
        </w:rPr>
        <w:t>20</w:t>
      </w:r>
      <w:r>
        <w:rPr>
          <w:rFonts w:hint="eastAsia" w:ascii="Times New Roman" w:hAnsi="Times New Roman" w:cs="Times New Roman"/>
          <w:kern w:val="2"/>
        </w:rPr>
        <w:t>年的时间里，不仅网络规模和用户规模双双成长为世界第一，还在知识产权、国际标准、移动通信设备研制等方面取得了历史性的突破！</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业界预测，</w:t>
      </w:r>
      <w:r>
        <w:rPr>
          <w:rFonts w:ascii="Times New Roman" w:hAnsi="Times New Roman" w:cs="Times New Roman"/>
          <w:kern w:val="2"/>
        </w:rPr>
        <w:t>5G</w:t>
      </w:r>
      <w:r>
        <w:rPr>
          <w:rFonts w:hint="eastAsia" w:ascii="Times New Roman" w:hAnsi="Times New Roman" w:cs="Times New Roman"/>
          <w:kern w:val="2"/>
        </w:rPr>
        <w:t>商用的时间是</w:t>
      </w:r>
      <w:r>
        <w:rPr>
          <w:rFonts w:ascii="Times New Roman" w:hAnsi="Times New Roman" w:cs="Times New Roman"/>
          <w:kern w:val="2"/>
        </w:rPr>
        <w:t>2020</w:t>
      </w:r>
      <w:r>
        <w:rPr>
          <w:rFonts w:hint="eastAsia" w:ascii="Times New Roman" w:hAnsi="Times New Roman" w:cs="Times New Roman"/>
          <w:kern w:val="2"/>
        </w:rPr>
        <w:t>年。</w:t>
      </w:r>
      <w:r>
        <w:rPr>
          <w:rFonts w:ascii="Times New Roman" w:hAnsi="Times New Roman" w:cs="Times New Roman"/>
          <w:kern w:val="2"/>
        </w:rPr>
        <w:t>5G</w:t>
      </w:r>
      <w:r>
        <w:rPr>
          <w:rFonts w:hint="eastAsia" w:ascii="Times New Roman" w:hAnsi="Times New Roman" w:cs="Times New Roman"/>
          <w:kern w:val="2"/>
        </w:rPr>
        <w:t>是多种新型无线接入技术和现有无线接入技术（</w:t>
      </w:r>
      <w:r>
        <w:rPr>
          <w:rFonts w:ascii="Times New Roman" w:hAnsi="Times New Roman" w:cs="Times New Roman"/>
          <w:kern w:val="2"/>
        </w:rPr>
        <w:t>4G</w:t>
      </w:r>
      <w:r>
        <w:rPr>
          <w:rFonts w:hint="eastAsia" w:ascii="Times New Roman" w:hAnsi="Times New Roman" w:cs="Times New Roman"/>
          <w:kern w:val="2"/>
        </w:rPr>
        <w:t>后向演进技术）集成后的解决方案总称，从某种程度上讲，</w:t>
      </w:r>
      <w:r>
        <w:rPr>
          <w:rFonts w:ascii="Times New Roman" w:hAnsi="Times New Roman" w:cs="Times New Roman"/>
          <w:kern w:val="2"/>
        </w:rPr>
        <w:t>5G</w:t>
      </w:r>
      <w:r>
        <w:rPr>
          <w:rFonts w:hint="eastAsia" w:ascii="Times New Roman" w:hAnsi="Times New Roman" w:cs="Times New Roman"/>
          <w:kern w:val="2"/>
        </w:rPr>
        <w:t>是一个真正意义上的融合网络。</w:t>
      </w:r>
      <w:r>
        <w:rPr>
          <w:rFonts w:ascii="Times New Roman" w:hAnsi="Times New Roman" w:cs="Times New Roman"/>
          <w:kern w:val="2"/>
        </w:rPr>
        <w:t>5G</w:t>
      </w:r>
      <w:r>
        <w:rPr>
          <w:rFonts w:hint="eastAsia" w:ascii="Times New Roman" w:hAnsi="Times New Roman" w:cs="Times New Roman"/>
          <w:kern w:val="2"/>
        </w:rPr>
        <w:t>的目标峰值速率超过</w:t>
      </w:r>
      <w:r>
        <w:rPr>
          <w:rFonts w:ascii="Times New Roman" w:hAnsi="Times New Roman" w:cs="Times New Roman"/>
          <w:kern w:val="2"/>
        </w:rPr>
        <w:t>10Gbps</w:t>
      </w:r>
      <w:r>
        <w:rPr>
          <w:rFonts w:hint="eastAsia" w:ascii="Times New Roman" w:hAnsi="Times New Roman" w:cs="Times New Roman"/>
          <w:kern w:val="2"/>
        </w:rPr>
        <w:t>，有着超高数据速率、极低时延、低成本设备、超低能耗、极高可靠性等特性，</w:t>
      </w:r>
      <w:r>
        <w:rPr>
          <w:rFonts w:ascii="Times New Roman" w:hAnsi="Times New Roman" w:cs="Times New Roman"/>
          <w:kern w:val="2"/>
        </w:rPr>
        <w:t>5G</w:t>
      </w:r>
      <w:r>
        <w:rPr>
          <w:rFonts w:hint="eastAsia" w:ascii="Times New Roman" w:hAnsi="Times New Roman" w:cs="Times New Roman"/>
          <w:kern w:val="2"/>
        </w:rPr>
        <w:t>与</w:t>
      </w:r>
      <w:r>
        <w:rPr>
          <w:rFonts w:ascii="Times New Roman" w:hAnsi="Times New Roman" w:cs="Times New Roman"/>
          <w:kern w:val="2"/>
        </w:rPr>
        <w:t>“</w:t>
      </w:r>
      <w:r>
        <w:rPr>
          <w:rFonts w:hint="eastAsia" w:ascii="Times New Roman" w:hAnsi="Times New Roman" w:cs="Times New Roman"/>
          <w:kern w:val="2"/>
        </w:rPr>
        <w:t>云</w:t>
      </w:r>
      <w:r>
        <w:rPr>
          <w:rFonts w:ascii="Times New Roman" w:hAnsi="Times New Roman" w:cs="Times New Roman"/>
          <w:kern w:val="2"/>
        </w:rPr>
        <w:t>”</w:t>
      </w:r>
      <w:r>
        <w:rPr>
          <w:rFonts w:hint="eastAsia" w:ascii="Times New Roman" w:hAnsi="Times New Roman" w:cs="Times New Roman"/>
          <w:kern w:val="2"/>
        </w:rPr>
        <w:t>、</w:t>
      </w:r>
      <w:r>
        <w:rPr>
          <w:rFonts w:ascii="Times New Roman" w:hAnsi="Times New Roman" w:cs="Times New Roman"/>
          <w:kern w:val="2"/>
        </w:rPr>
        <w:t>“</w:t>
      </w:r>
      <w:r>
        <w:rPr>
          <w:rFonts w:hint="eastAsia" w:ascii="Times New Roman" w:hAnsi="Times New Roman" w:cs="Times New Roman"/>
          <w:kern w:val="2"/>
        </w:rPr>
        <w:t>物联网</w:t>
      </w:r>
      <w:r>
        <w:rPr>
          <w:rFonts w:ascii="Times New Roman" w:hAnsi="Times New Roman" w:cs="Times New Roman"/>
          <w:kern w:val="2"/>
        </w:rPr>
        <w:t>”</w:t>
      </w:r>
      <w:r>
        <w:rPr>
          <w:rFonts w:hint="eastAsia" w:ascii="Times New Roman" w:hAnsi="Times New Roman" w:cs="Times New Roman"/>
          <w:kern w:val="2"/>
        </w:rPr>
        <w:t>密不可分。真正的</w:t>
      </w:r>
      <w:r>
        <w:rPr>
          <w:rFonts w:ascii="Times New Roman" w:hAnsi="Times New Roman" w:cs="Times New Roman"/>
          <w:kern w:val="2"/>
        </w:rPr>
        <w:t>5G</w:t>
      </w:r>
      <w:r>
        <w:rPr>
          <w:rFonts w:hint="eastAsia" w:ascii="Times New Roman" w:hAnsi="Times New Roman" w:cs="Times New Roman"/>
          <w:kern w:val="2"/>
        </w:rPr>
        <w:t>终端不仅可以兼容</w:t>
      </w:r>
      <w:r>
        <w:rPr>
          <w:rFonts w:ascii="Times New Roman" w:hAnsi="Times New Roman" w:cs="Times New Roman"/>
          <w:kern w:val="2"/>
        </w:rPr>
        <w:t>4G</w:t>
      </w:r>
      <w:r>
        <w:rPr>
          <w:rFonts w:hint="eastAsia" w:ascii="Times New Roman" w:hAnsi="Times New Roman" w:cs="Times New Roman"/>
          <w:kern w:val="2"/>
        </w:rPr>
        <w:t>标准，同时还可以降低终端成本，提供真正意义的全球漫游。</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目前</w:t>
      </w:r>
      <w:r>
        <w:rPr>
          <w:rFonts w:ascii="Times New Roman" w:hAnsi="Times New Roman" w:cs="Times New Roman"/>
          <w:kern w:val="2"/>
        </w:rPr>
        <w:t>5G</w:t>
      </w:r>
      <w:r>
        <w:rPr>
          <w:rFonts w:hint="eastAsia" w:ascii="Times New Roman" w:hAnsi="Times New Roman" w:cs="Times New Roman"/>
          <w:kern w:val="2"/>
        </w:rPr>
        <w:t>各项规范标准已形成落地，</w:t>
      </w:r>
      <w:r>
        <w:rPr>
          <w:rFonts w:ascii="Times New Roman" w:hAnsi="Times New Roman" w:cs="Times New Roman"/>
          <w:kern w:val="2"/>
        </w:rPr>
        <w:t>5G</w:t>
      </w:r>
      <w:r>
        <w:rPr>
          <w:rFonts w:hint="eastAsia" w:ascii="Times New Roman" w:hAnsi="Times New Roman" w:cs="Times New Roman"/>
          <w:kern w:val="2"/>
        </w:rPr>
        <w:t>网络发展更是如火如荼，已成为目前聚焦发展的主流网络，本规划将以</w:t>
      </w:r>
      <w:r>
        <w:rPr>
          <w:rFonts w:ascii="Times New Roman" w:hAnsi="Times New Roman" w:cs="Times New Roman"/>
          <w:kern w:val="2"/>
        </w:rPr>
        <w:t>5G</w:t>
      </w:r>
      <w:r>
        <w:rPr>
          <w:rFonts w:hint="eastAsia" w:ascii="Times New Roman" w:hAnsi="Times New Roman" w:cs="Times New Roman"/>
          <w:kern w:val="2"/>
        </w:rPr>
        <w:t>网络为规划目标。</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对物理站址的影响分析：不同运营商的不同制式或不同频率的基站是逻辑站址，城市规划控制基站站址是指物理站址而非逻辑站址，一个物理站址可能包括多种逻辑基站，如</w:t>
      </w:r>
      <w:r>
        <w:rPr>
          <w:rFonts w:ascii="Times New Roman" w:hAnsi="Times New Roman" w:cs="Times New Roman"/>
          <w:kern w:val="2"/>
        </w:rPr>
        <w:t xml:space="preserve"> 900MHz</w:t>
      </w:r>
      <w:r>
        <w:rPr>
          <w:rFonts w:hint="eastAsia" w:ascii="Times New Roman" w:hAnsi="Times New Roman" w:cs="Times New Roman"/>
          <w:kern w:val="2"/>
        </w:rPr>
        <w:t>、</w:t>
      </w:r>
      <w:r>
        <w:rPr>
          <w:rFonts w:ascii="Times New Roman" w:hAnsi="Times New Roman" w:cs="Times New Roman"/>
          <w:kern w:val="2"/>
        </w:rPr>
        <w:t>1800MHz</w:t>
      </w:r>
      <w:r>
        <w:rPr>
          <w:rFonts w:hint="eastAsia" w:ascii="Times New Roman" w:hAnsi="Times New Roman" w:cs="Times New Roman"/>
          <w:kern w:val="2"/>
        </w:rPr>
        <w:t>、</w:t>
      </w:r>
      <w:r>
        <w:rPr>
          <w:rFonts w:ascii="Times New Roman" w:hAnsi="Times New Roman" w:cs="Times New Roman"/>
          <w:kern w:val="2"/>
        </w:rPr>
        <w:t>2100MHz</w:t>
      </w:r>
      <w:r>
        <w:rPr>
          <w:rFonts w:hint="eastAsia" w:ascii="Times New Roman" w:hAnsi="Times New Roman" w:cs="Times New Roman"/>
          <w:kern w:val="2"/>
        </w:rPr>
        <w:t>、</w:t>
      </w:r>
      <w:r>
        <w:rPr>
          <w:rFonts w:ascii="Times New Roman" w:hAnsi="Times New Roman" w:cs="Times New Roman"/>
          <w:kern w:val="2"/>
        </w:rPr>
        <w:t>2600HMz</w:t>
      </w:r>
      <w:r>
        <w:rPr>
          <w:rFonts w:hint="eastAsia" w:ascii="Times New Roman" w:hAnsi="Times New Roman" w:cs="Times New Roman"/>
          <w:kern w:val="2"/>
        </w:rPr>
        <w:t>，或者</w:t>
      </w:r>
      <w:r>
        <w:rPr>
          <w:rFonts w:ascii="Times New Roman" w:hAnsi="Times New Roman" w:cs="Times New Roman"/>
          <w:kern w:val="2"/>
        </w:rPr>
        <w:t xml:space="preserve"> 2G</w:t>
      </w:r>
      <w:r>
        <w:rPr>
          <w:rFonts w:hint="eastAsia" w:ascii="Times New Roman" w:hAnsi="Times New Roman" w:cs="Times New Roman"/>
          <w:kern w:val="2"/>
        </w:rPr>
        <w:t>、</w:t>
      </w:r>
      <w:r>
        <w:rPr>
          <w:rFonts w:ascii="Times New Roman" w:hAnsi="Times New Roman" w:cs="Times New Roman"/>
          <w:kern w:val="2"/>
        </w:rPr>
        <w:t>3G</w:t>
      </w:r>
      <w:r>
        <w:rPr>
          <w:rFonts w:hint="eastAsia" w:ascii="Times New Roman" w:hAnsi="Times New Roman" w:cs="Times New Roman"/>
          <w:kern w:val="2"/>
        </w:rPr>
        <w:t>、</w:t>
      </w:r>
      <w:r>
        <w:rPr>
          <w:rFonts w:ascii="Times New Roman" w:hAnsi="Times New Roman" w:cs="Times New Roman"/>
          <w:kern w:val="2"/>
        </w:rPr>
        <w:t>4G</w:t>
      </w:r>
      <w:r>
        <w:rPr>
          <w:rFonts w:hint="eastAsia" w:ascii="Times New Roman" w:hAnsi="Times New Roman" w:cs="Times New Roman"/>
          <w:kern w:val="2"/>
        </w:rPr>
        <w:t>、</w:t>
      </w:r>
      <w:r>
        <w:rPr>
          <w:rFonts w:ascii="Times New Roman" w:hAnsi="Times New Roman" w:cs="Times New Roman"/>
          <w:kern w:val="2"/>
        </w:rPr>
        <w:t>5G</w:t>
      </w:r>
      <w:r>
        <w:rPr>
          <w:rFonts w:hint="eastAsia" w:ascii="Times New Roman" w:hAnsi="Times New Roman" w:cs="Times New Roman"/>
          <w:kern w:val="2"/>
        </w:rPr>
        <w:t>的站址，或者直放站、微基站，或者不同运营商的不同制式的逻辑基站。将不同逻辑站址通过集约化手段梳理成物理站址，是本次规划的任务之一，这样既避免陷于不同制式用户动态变化而难以得出基站的数量，也便于将基站的设置规律纳入城市规划而普遍推广。</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对基站设置规律的影响分析：</w:t>
      </w:r>
      <w:r>
        <w:rPr>
          <w:rFonts w:ascii="Times New Roman" w:hAnsi="Times New Roman" w:cs="Times New Roman"/>
          <w:kern w:val="2"/>
        </w:rPr>
        <w:t>2G</w:t>
      </w:r>
      <w:r>
        <w:rPr>
          <w:rFonts w:hint="eastAsia" w:ascii="Times New Roman" w:hAnsi="Times New Roman" w:cs="Times New Roman"/>
          <w:kern w:val="2"/>
        </w:rPr>
        <w:t>、</w:t>
      </w:r>
      <w:r>
        <w:rPr>
          <w:rFonts w:ascii="Times New Roman" w:hAnsi="Times New Roman" w:cs="Times New Roman"/>
          <w:kern w:val="2"/>
        </w:rPr>
        <w:t xml:space="preserve"> 3G</w:t>
      </w:r>
      <w:r>
        <w:rPr>
          <w:rFonts w:hint="eastAsia" w:ascii="Times New Roman" w:hAnsi="Times New Roman" w:cs="Times New Roman"/>
          <w:kern w:val="2"/>
        </w:rPr>
        <w:t>、</w:t>
      </w:r>
      <w:r>
        <w:rPr>
          <w:rFonts w:ascii="Times New Roman" w:hAnsi="Times New Roman" w:cs="Times New Roman"/>
          <w:kern w:val="2"/>
        </w:rPr>
        <w:t>4G</w:t>
      </w:r>
      <w:r>
        <w:rPr>
          <w:rFonts w:hint="eastAsia" w:ascii="Times New Roman" w:hAnsi="Times New Roman" w:cs="Times New Roman"/>
          <w:kern w:val="2"/>
        </w:rPr>
        <w:t>、</w:t>
      </w:r>
      <w:r>
        <w:rPr>
          <w:rFonts w:ascii="Times New Roman" w:hAnsi="Times New Roman" w:cs="Times New Roman"/>
          <w:kern w:val="2"/>
        </w:rPr>
        <w:t>5G</w:t>
      </w:r>
      <w:r>
        <w:rPr>
          <w:rFonts w:hint="eastAsia" w:ascii="Times New Roman" w:hAnsi="Times New Roman" w:cs="Times New Roman"/>
          <w:kern w:val="2"/>
        </w:rPr>
        <w:t>的不同制式因业务模型和传输模型的不同，导致基站的覆盖半径、站距均不相同；尽管数据差值不大，但对需在城市规划阶段推广的普遍规律而言，各种数据要更具代表性。如果按照覆盖半径最小、市场份额最大制式的基站所承载用户数来总结基站的设置规律，那么，其它制式的设置规律也能满足或基本接近使用要求；不同制式的差别可以通过技术分析加以修正。</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对基站布局的影响分析：各种制式的基站布局最终由各功能片区的该制式用户数、建设状况（包括建筑单体、城市道路等）、周边电磁环境等因素确定。尽管前述的基站数量的计算方法、设置规律不是针对某种制式而制定，但最终基站布局是一定要满足各种制式的要求。满足不同制式布局要求主要通过基站布局步骤、选址原则、选址方法来控制，同时结合各功能片区及其周边片区的现状基站布局、规划期末的建设状况以及要达到规划目标等要素综合确定。</w:t>
      </w:r>
    </w:p>
    <w:p>
      <w:pPr>
        <w:pStyle w:val="5"/>
      </w:pPr>
      <w:bookmarkStart w:id="182" w:name="_Toc56092780"/>
      <w:r>
        <w:rPr>
          <w:rFonts w:hint="eastAsia"/>
        </w:rPr>
        <w:t>规划思路</w:t>
      </w:r>
      <w:bookmarkEnd w:id="182"/>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城区电信、移动、联通、广电基站分别建设，分布面广点多，对城市用地布局和节约用地影响较大，为实现对各运营商基站进行全面统筹的合理规划布局，减少基站的重复建设，保护城市景观环境。结合梁平区规划布局，从满足通信功能需求、城市景观、环境保护、社会心理及网络稳定安全等方面合理对通信基站落实选址布点，保证城市建设与通信产业的协调性。</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w:t>
      </w:r>
      <w:r>
        <w:rPr>
          <w:rFonts w:hint="eastAsia" w:ascii="Times New Roman" w:hAnsi="Times New Roman" w:cs="Times New Roman"/>
          <w:kern w:val="2"/>
        </w:rPr>
        <w:t>、新城站址应提前规划，推动纳入到城乡发展的详细规划中，后续根据功能区的完工时间、用户入住情况和电信企业及广电的建设要求，分步实施。</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w:t>
      </w:r>
      <w:r>
        <w:rPr>
          <w:rFonts w:hint="eastAsia" w:ascii="Times New Roman" w:hAnsi="Times New Roman" w:cs="Times New Roman"/>
          <w:kern w:val="2"/>
        </w:rPr>
        <w:t>、积极掌握铁路、公路等交通管理部门对站址建设的要求，以及可获取的土地房屋、电力等资源。</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w:t>
      </w:r>
      <w:r>
        <w:rPr>
          <w:rFonts w:hint="eastAsia" w:ascii="Times New Roman" w:hAnsi="Times New Roman" w:cs="Times New Roman"/>
          <w:kern w:val="2"/>
        </w:rPr>
        <w:t>、主动获取交通干线规划需要的里程、车流量、道路使用车型、车速、车体损耗和路基高度等信息。</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4</w:t>
      </w:r>
      <w:r>
        <w:rPr>
          <w:rFonts w:hint="eastAsia" w:ascii="Times New Roman" w:hAnsi="Times New Roman" w:cs="Times New Roman"/>
          <w:kern w:val="2"/>
        </w:rPr>
        <w:t>、分析沿线各家电信企业及广电现网覆盖和站址资源情况，为利旧改造使用存量站址提供依据。</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w:t>
      </w:r>
      <w:r>
        <w:rPr>
          <w:rFonts w:hint="eastAsia" w:ascii="Times New Roman" w:hAnsi="Times New Roman" w:cs="Times New Roman"/>
          <w:kern w:val="2"/>
        </w:rPr>
        <w:t>、根据电信企业及广电交通干线覆盖策略、网络制式、频段、覆盖指标、容量指标等要求，结合电信企业及广电现有类似交通干线的站址布局和链路预算分析，确定交通干线覆盖中站址规划的站距、规模和挂高要求。</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6</w:t>
      </w:r>
      <w:r>
        <w:rPr>
          <w:rFonts w:hint="eastAsia" w:ascii="Times New Roman" w:hAnsi="Times New Roman" w:cs="Times New Roman"/>
          <w:kern w:val="2"/>
        </w:rPr>
        <w:t>、综合各家电信企业和广电不同制式的站距、挂高、距路基垂直距离等要求，考虑机房配套和天面资源的配置，结合可获取的土地房屋资源，加强整合，制定初步的站址方案。</w:t>
      </w:r>
    </w:p>
    <w:p>
      <w:pPr>
        <w:pStyle w:val="5"/>
      </w:pPr>
      <w:bookmarkStart w:id="183" w:name="_Toc56092781"/>
      <w:r>
        <w:rPr>
          <w:rFonts w:hint="eastAsia"/>
        </w:rPr>
        <w:t>规划原则</w:t>
      </w:r>
      <w:bookmarkEnd w:id="183"/>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w:t>
      </w:r>
      <w:r>
        <w:rPr>
          <w:rFonts w:hint="eastAsia" w:ascii="Times New Roman" w:hAnsi="Times New Roman" w:cs="Times New Roman"/>
          <w:kern w:val="2"/>
        </w:rPr>
        <w:t>、后向兼容：本次规划充分尊重历史，在体现前瞻规划的同时，也着重体现了后向兼容的思想。对于由于客观原因导致的基站设置现状不作颠覆性的变更，并基于精细化管理的原则对其进行了梳理、归类，或保留、或调整、或拆除。基本确立了</w:t>
      </w:r>
      <w:r>
        <w:rPr>
          <w:rFonts w:ascii="Times New Roman" w:hAnsi="Times New Roman" w:cs="Times New Roman"/>
          <w:kern w:val="2"/>
        </w:rPr>
        <w:t>“</w:t>
      </w:r>
      <w:r>
        <w:rPr>
          <w:rFonts w:hint="eastAsia" w:ascii="Times New Roman" w:hAnsi="Times New Roman" w:cs="Times New Roman"/>
          <w:kern w:val="2"/>
        </w:rPr>
        <w:t>大部保留，适当调整，少量拆除</w:t>
      </w:r>
      <w:r>
        <w:rPr>
          <w:rFonts w:ascii="Times New Roman" w:hAnsi="Times New Roman" w:cs="Times New Roman"/>
          <w:kern w:val="2"/>
        </w:rPr>
        <w:t>”</w:t>
      </w:r>
      <w:r>
        <w:rPr>
          <w:rFonts w:hint="eastAsia" w:ascii="Times New Roman" w:hAnsi="Times New Roman" w:cs="Times New Roman"/>
          <w:kern w:val="2"/>
        </w:rPr>
        <w:t>的原则，以确保移动通信服务不会由于规划的根本性变更而发生重大事故，确保移动通信行业安全运行。</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w:t>
      </w:r>
      <w:r>
        <w:rPr>
          <w:rFonts w:hint="eastAsia" w:ascii="Times New Roman" w:hAnsi="Times New Roman" w:cs="Times New Roman"/>
          <w:kern w:val="2"/>
        </w:rPr>
        <w:t>、规划引导：基站设置作为一项微观的行为，需要充分体现城乡规划及布局的意图，实现基站与人口、用地属性、地形地貌等方面的有机融合。通过规划先行推动基站设置的有的放矢，推动基站布局的进一步优化，最终实现</w:t>
      </w:r>
      <w:r>
        <w:rPr>
          <w:rFonts w:ascii="Times New Roman" w:hAnsi="Times New Roman" w:cs="Times New Roman"/>
          <w:kern w:val="2"/>
        </w:rPr>
        <w:t>“</w:t>
      </w:r>
      <w:r>
        <w:rPr>
          <w:rFonts w:hint="eastAsia" w:ascii="Times New Roman" w:hAnsi="Times New Roman" w:cs="Times New Roman"/>
          <w:kern w:val="2"/>
        </w:rPr>
        <w:t>按需设站</w:t>
      </w:r>
      <w:r>
        <w:rPr>
          <w:rFonts w:ascii="Times New Roman" w:hAnsi="Times New Roman" w:cs="Times New Roman"/>
          <w:kern w:val="2"/>
        </w:rPr>
        <w:t>”</w:t>
      </w:r>
      <w:r>
        <w:rPr>
          <w:rFonts w:hint="eastAsia" w:ascii="Times New Roman" w:hAnsi="Times New Roman" w:cs="Times New Roman"/>
          <w:kern w:val="2"/>
        </w:rPr>
        <w:t>的基站设置思路。</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w:t>
      </w:r>
      <w:r>
        <w:rPr>
          <w:rFonts w:hint="eastAsia" w:ascii="Times New Roman" w:hAnsi="Times New Roman" w:cs="Times New Roman"/>
          <w:kern w:val="2"/>
        </w:rPr>
        <w:t>、资源集约：基站设置不仅涉及空间资源，同样也涉及到能源供应、传输等方面的一系列要素。本次规划以站址集约为切入点，进一步强化多要素的集约利用。在空间上倡导移动通信行业内的天面、物理空间等的共享；倡导移动通信行业与其他城市公共设施行业的共享。</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4</w:t>
      </w:r>
      <w:r>
        <w:rPr>
          <w:rFonts w:hint="eastAsia" w:ascii="Times New Roman" w:hAnsi="Times New Roman" w:cs="Times New Roman"/>
          <w:kern w:val="2"/>
        </w:rPr>
        <w:t>、多要素融合：基站设置源于移动通信网络的部署需要，其技术的合理性直接影响到运营商的利益，同时，基站设置落脚于城市具体物理形态，其技术合理性必然受到包括业主、居民在内的多元利益群体的影响。因此，基站规划的过程中，通过多要素的综合预判，以实现多元主体在利益上的平衡和趋同。</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w:t>
      </w:r>
      <w:r>
        <w:rPr>
          <w:rFonts w:hint="eastAsia" w:ascii="Times New Roman" w:hAnsi="Times New Roman" w:cs="Times New Roman"/>
          <w:kern w:val="2"/>
        </w:rPr>
        <w:t>、布局前瞻性：移动通信技术发展迅速，现网多种制式并存，从</w:t>
      </w:r>
      <w:r>
        <w:rPr>
          <w:rFonts w:ascii="Times New Roman" w:hAnsi="Times New Roman" w:cs="Times New Roman"/>
          <w:kern w:val="2"/>
        </w:rPr>
        <w:t>5G</w:t>
      </w:r>
      <w:r>
        <w:rPr>
          <w:rFonts w:hint="eastAsia" w:ascii="Times New Roman" w:hAnsi="Times New Roman" w:cs="Times New Roman"/>
          <w:kern w:val="2"/>
        </w:rPr>
        <w:t>开始有望未来发展为较为统一的制式，但多种制式并存的情况仍将长期存在。未来移动通信网络将提供更为多样化的业务，技术也更复杂，基于一般技术的信号强度分析不能满足规划需求。</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6</w:t>
      </w:r>
      <w:r>
        <w:rPr>
          <w:rFonts w:hint="eastAsia" w:ascii="Times New Roman" w:hAnsi="Times New Roman" w:cs="Times New Roman"/>
          <w:kern w:val="2"/>
        </w:rPr>
        <w:t>、渐进化：网络规模的发展是渐进的，这既是市场发展的要求，也是运营商投资受限的结果。近期和远期规划相结合，以最低的成本建造成符合近期和远期话务需求，具有一定服务等级的移动通信网络。按建设时序，通信网络提供的各项业务质量将越来越好，用户的主观感觉也越来越好，保持在移动通信市场对用户长久的吸引力。</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7</w:t>
      </w:r>
      <w:r>
        <w:rPr>
          <w:rFonts w:hint="eastAsia" w:ascii="Times New Roman" w:hAnsi="Times New Roman" w:cs="Times New Roman"/>
          <w:kern w:val="2"/>
        </w:rPr>
        <w:t>、基站布局应符合</w:t>
      </w:r>
      <w:r>
        <w:rPr>
          <w:rFonts w:ascii="Times New Roman" w:hAnsi="Times New Roman" w:cs="Times New Roman"/>
          <w:kern w:val="2"/>
        </w:rPr>
        <w:t>GB 8702-2014</w:t>
      </w:r>
      <w:r>
        <w:rPr>
          <w:rFonts w:hint="eastAsia" w:ascii="Times New Roman" w:hAnsi="Times New Roman" w:cs="Times New Roman"/>
          <w:kern w:val="2"/>
        </w:rPr>
        <w:t>《电磁辐射防护规定》等电磁辐射要求。</w:t>
      </w:r>
    </w:p>
    <w:p>
      <w:pPr>
        <w:pStyle w:val="5"/>
      </w:pPr>
      <w:bookmarkStart w:id="184" w:name="_Toc56092782"/>
      <w:r>
        <w:rPr>
          <w:rFonts w:hint="eastAsia"/>
        </w:rPr>
        <w:t>宏站规划</w:t>
      </w:r>
      <w:bookmarkEnd w:id="184"/>
    </w:p>
    <w:p>
      <w:pPr>
        <w:pStyle w:val="6"/>
        <w:numPr>
          <w:ilvl w:val="0"/>
          <w:numId w:val="42"/>
        </w:numPr>
      </w:pPr>
      <w:r>
        <w:rPr>
          <w:rFonts w:hint="eastAsia"/>
        </w:rPr>
        <w:t>网络覆盖要求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实现整个规划区的连续覆盖，室外信号强度大于</w:t>
      </w:r>
      <w:r>
        <w:rPr>
          <w:rFonts w:ascii="Times New Roman" w:hAnsi="Times New Roman" w:cs="Times New Roman"/>
          <w:kern w:val="2"/>
        </w:rPr>
        <w:t>-90dBm</w:t>
      </w:r>
      <w:r>
        <w:rPr>
          <w:rFonts w:hint="eastAsia" w:ascii="Times New Roman" w:hAnsi="Times New Roman" w:cs="Times New Roman"/>
          <w:kern w:val="2"/>
        </w:rPr>
        <w:t>，可畅通地满足语音通信及数据需求。同时要紧跟城市发展建设需求，对近期城市规划重点区域、交通干线提前预覆盖，中远期对尚未建设或尚未规划的区域随着建设进度覆盖。</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现阶段主要建设</w:t>
      </w:r>
      <w:r>
        <w:rPr>
          <w:rFonts w:ascii="Times New Roman" w:hAnsi="Times New Roman" w:cs="Times New Roman"/>
          <w:kern w:val="2"/>
        </w:rPr>
        <w:t>5G</w:t>
      </w:r>
      <w:r>
        <w:rPr>
          <w:rFonts w:hint="eastAsia" w:ascii="Times New Roman" w:hAnsi="Times New Roman" w:cs="Times New Roman"/>
          <w:kern w:val="2"/>
        </w:rPr>
        <w:t>基站，下表为各大运营商对</w:t>
      </w:r>
      <w:r>
        <w:rPr>
          <w:rFonts w:ascii="Times New Roman" w:hAnsi="Times New Roman" w:cs="Times New Roman"/>
          <w:kern w:val="2"/>
        </w:rPr>
        <w:t>5G</w:t>
      </w:r>
      <w:r>
        <w:rPr>
          <w:rFonts w:hint="eastAsia" w:ascii="Times New Roman" w:hAnsi="Times New Roman" w:cs="Times New Roman"/>
          <w:kern w:val="2"/>
        </w:rPr>
        <w:t>室外覆盖目标要求。</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室外覆盖目标：</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一般城区：应满足</w:t>
      </w:r>
      <w:r>
        <w:rPr>
          <w:rFonts w:ascii="Times New Roman" w:hAnsi="Times New Roman" w:cs="Times New Roman"/>
          <w:kern w:val="2"/>
        </w:rPr>
        <w:t>RSRP&gt;=-105dbm</w:t>
      </w:r>
      <w:r>
        <w:rPr>
          <w:rFonts w:hint="eastAsia" w:ascii="Times New Roman" w:hAnsi="Times New Roman" w:cs="Times New Roman"/>
          <w:kern w:val="2"/>
        </w:rPr>
        <w:t>且</w:t>
      </w:r>
      <w:r>
        <w:rPr>
          <w:rFonts w:ascii="Times New Roman" w:hAnsi="Times New Roman" w:cs="Times New Roman"/>
          <w:kern w:val="2"/>
        </w:rPr>
        <w:t>SS-SINR&gt;=-3db</w:t>
      </w:r>
      <w:r>
        <w:rPr>
          <w:rFonts w:hint="eastAsia" w:ascii="Times New Roman" w:hAnsi="Times New Roman" w:cs="Times New Roman"/>
          <w:kern w:val="2"/>
        </w:rPr>
        <w:t>的概率</w:t>
      </w:r>
      <w:r>
        <w:rPr>
          <w:rFonts w:ascii="Times New Roman" w:hAnsi="Times New Roman" w:cs="Times New Roman"/>
          <w:kern w:val="2"/>
        </w:rPr>
        <w:t>&gt;=90%</w:t>
      </w:r>
      <w:r>
        <w:rPr>
          <w:rFonts w:hint="eastAsia" w:ascii="Times New Roman" w:hAnsi="Times New Roman" w:cs="Times New Roman"/>
          <w:kern w:val="2"/>
        </w:rPr>
        <w:t>。下行速率</w:t>
      </w:r>
      <w:r>
        <w:rPr>
          <w:rFonts w:ascii="Times New Roman" w:hAnsi="Times New Roman" w:cs="Times New Roman"/>
          <w:kern w:val="2"/>
        </w:rPr>
        <w:t xml:space="preserve">&gt;=100Mbps </w:t>
      </w:r>
      <w:r>
        <w:rPr>
          <w:rFonts w:hint="eastAsia" w:ascii="Times New Roman" w:hAnsi="Times New Roman" w:cs="Times New Roman"/>
          <w:kern w:val="2"/>
        </w:rPr>
        <w:t>且上行速率</w:t>
      </w:r>
      <w:r>
        <w:rPr>
          <w:rFonts w:ascii="Times New Roman" w:hAnsi="Times New Roman" w:cs="Times New Roman"/>
          <w:kern w:val="2"/>
        </w:rPr>
        <w:t>&gt;=5 Mbps</w:t>
      </w:r>
      <w:r>
        <w:rPr>
          <w:rFonts w:hint="eastAsia" w:ascii="Times New Roman" w:hAnsi="Times New Roman" w:cs="Times New Roman"/>
          <w:kern w:val="2"/>
        </w:rPr>
        <w:t>的概率</w:t>
      </w:r>
      <w:r>
        <w:rPr>
          <w:rFonts w:ascii="Times New Roman" w:hAnsi="Times New Roman" w:cs="Times New Roman"/>
          <w:kern w:val="2"/>
        </w:rPr>
        <w:t>&gt;=90%</w:t>
      </w:r>
    </w:p>
    <w:p>
      <w:pPr>
        <w:pStyle w:val="8"/>
        <w:spacing w:before="48" w:after="48"/>
      </w:pPr>
      <w:r>
        <w:rPr>
          <w:rFonts w:hint="eastAsia"/>
        </w:rPr>
        <w:t>表</w:t>
      </w:r>
      <w:r>
        <w:t>6-2 5G</w:t>
      </w:r>
      <w:r>
        <w:rPr>
          <w:rFonts w:hint="eastAsia"/>
        </w:rPr>
        <w:t>网络覆盖指标考虑</w:t>
      </w:r>
    </w:p>
    <w:tbl>
      <w:tblPr>
        <w:tblStyle w:val="30"/>
        <w:tblW w:w="9072" w:type="dxa"/>
        <w:jc w:val="center"/>
        <w:tblLayout w:type="autofit"/>
        <w:tblCellMar>
          <w:top w:w="0" w:type="dxa"/>
          <w:left w:w="108" w:type="dxa"/>
          <w:bottom w:w="0" w:type="dxa"/>
          <w:right w:w="108" w:type="dxa"/>
        </w:tblCellMar>
      </w:tblPr>
      <w:tblGrid>
        <w:gridCol w:w="2662"/>
        <w:gridCol w:w="3233"/>
        <w:gridCol w:w="3177"/>
      </w:tblGrid>
      <w:tr>
        <w:tblPrEx>
          <w:tblCellMar>
            <w:top w:w="0" w:type="dxa"/>
            <w:left w:w="108" w:type="dxa"/>
            <w:bottom w:w="0" w:type="dxa"/>
            <w:right w:w="108" w:type="dxa"/>
          </w:tblCellMar>
        </w:tblPrEx>
        <w:trPr>
          <w:trHeight w:val="270" w:hRule="atLeast"/>
          <w:tblHeader/>
          <w:jc w:val="center"/>
        </w:trPr>
        <w:tc>
          <w:tcPr>
            <w:tcW w:w="1467" w:type="pct"/>
            <w:tcBorders>
              <w:top w:val="single" w:color="auto" w:sz="4" w:space="0"/>
              <w:left w:val="single" w:color="auto" w:sz="4" w:space="0"/>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城区场景</w:t>
            </w:r>
          </w:p>
        </w:tc>
        <w:tc>
          <w:tcPr>
            <w:tcW w:w="1782" w:type="pct"/>
            <w:tcBorders>
              <w:top w:val="single" w:color="auto" w:sz="4" w:space="0"/>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4G</w:t>
            </w:r>
          </w:p>
        </w:tc>
        <w:tc>
          <w:tcPr>
            <w:tcW w:w="1751" w:type="pct"/>
            <w:tcBorders>
              <w:top w:val="single" w:color="auto" w:sz="4" w:space="0"/>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5G</w:t>
            </w:r>
          </w:p>
        </w:tc>
      </w:tr>
      <w:tr>
        <w:tblPrEx>
          <w:tblCellMar>
            <w:top w:w="0" w:type="dxa"/>
            <w:left w:w="108" w:type="dxa"/>
            <w:bottom w:w="0" w:type="dxa"/>
            <w:right w:w="108" w:type="dxa"/>
          </w:tblCellMar>
        </w:tblPrEx>
        <w:trPr>
          <w:trHeight w:val="270" w:hRule="atLeast"/>
          <w:jc w:val="center"/>
        </w:trPr>
        <w:tc>
          <w:tcPr>
            <w:tcW w:w="1467" w:type="pct"/>
            <w:tcBorders>
              <w:top w:val="nil"/>
              <w:left w:val="single" w:color="auto" w:sz="4" w:space="0"/>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目标</w:t>
            </w:r>
          </w:p>
        </w:tc>
        <w:tc>
          <w:tcPr>
            <w:tcW w:w="3533" w:type="pct"/>
            <w:gridSpan w:val="2"/>
            <w:tcBorders>
              <w:top w:val="single" w:color="auto" w:sz="4" w:space="0"/>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采样点概率满足</w:t>
            </w:r>
            <w:r>
              <w:rPr>
                <w:rFonts w:ascii="Times New Roman" w:hAnsi="Times New Roman" w:cs="Arial Unicode MS"/>
                <w:sz w:val="21"/>
                <w:szCs w:val="21"/>
              </w:rPr>
              <w:t>95</w:t>
            </w:r>
            <w:r>
              <w:rPr>
                <w:rFonts w:hint="eastAsia" w:ascii="Times New Roman" w:hAnsi="Times New Roman" w:cs="Arial Unicode MS"/>
                <w:sz w:val="21"/>
                <w:szCs w:val="21"/>
              </w:rPr>
              <w:t>％</w:t>
            </w:r>
          </w:p>
        </w:tc>
      </w:tr>
      <w:tr>
        <w:tblPrEx>
          <w:tblCellMar>
            <w:top w:w="0" w:type="dxa"/>
            <w:left w:w="108" w:type="dxa"/>
            <w:bottom w:w="0" w:type="dxa"/>
            <w:right w:w="108" w:type="dxa"/>
          </w:tblCellMar>
        </w:tblPrEx>
        <w:trPr>
          <w:trHeight w:val="540" w:hRule="atLeast"/>
          <w:jc w:val="center"/>
        </w:trPr>
        <w:tc>
          <w:tcPr>
            <w:tcW w:w="1467" w:type="pct"/>
            <w:tcBorders>
              <w:top w:val="nil"/>
              <w:left w:val="single" w:color="auto" w:sz="4" w:space="0"/>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室外覆盖</w:t>
            </w:r>
          </w:p>
        </w:tc>
        <w:tc>
          <w:tcPr>
            <w:tcW w:w="1782"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RSRP&gt;=-105dbm&amp;</w:t>
            </w:r>
            <w:r>
              <w:rPr>
                <w:rFonts w:ascii="Times New Roman" w:hAnsi="Times New Roman" w:cs="Arial Unicode MS"/>
                <w:sz w:val="21"/>
                <w:szCs w:val="21"/>
              </w:rPr>
              <w:br w:type="textWrapping"/>
            </w:r>
            <w:r>
              <w:rPr>
                <w:rFonts w:ascii="Times New Roman" w:hAnsi="Times New Roman" w:cs="Arial Unicode MS"/>
                <w:sz w:val="21"/>
                <w:szCs w:val="21"/>
              </w:rPr>
              <w:t>RS-SINR&gt;=-3db</w:t>
            </w:r>
          </w:p>
        </w:tc>
        <w:tc>
          <w:tcPr>
            <w:tcW w:w="1751"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RSRP&gt;=-105dbm&amp;</w:t>
            </w:r>
            <w:r>
              <w:rPr>
                <w:rFonts w:ascii="Times New Roman" w:hAnsi="Times New Roman" w:cs="Arial Unicode MS"/>
                <w:sz w:val="21"/>
                <w:szCs w:val="21"/>
              </w:rPr>
              <w:br w:type="textWrapping"/>
            </w:r>
            <w:r>
              <w:rPr>
                <w:rFonts w:ascii="Times New Roman" w:hAnsi="Times New Roman" w:cs="Arial Unicode MS"/>
                <w:sz w:val="21"/>
                <w:szCs w:val="21"/>
              </w:rPr>
              <w:t>SS-SINR&gt;=-3db</w:t>
            </w:r>
          </w:p>
        </w:tc>
      </w:tr>
      <w:tr>
        <w:tblPrEx>
          <w:tblCellMar>
            <w:top w:w="0" w:type="dxa"/>
            <w:left w:w="108" w:type="dxa"/>
            <w:bottom w:w="0" w:type="dxa"/>
            <w:right w:w="108" w:type="dxa"/>
          </w:tblCellMar>
        </w:tblPrEx>
        <w:trPr>
          <w:trHeight w:val="270" w:hRule="atLeast"/>
          <w:jc w:val="center"/>
        </w:trPr>
        <w:tc>
          <w:tcPr>
            <w:tcW w:w="1467" w:type="pct"/>
            <w:tcBorders>
              <w:top w:val="nil"/>
              <w:left w:val="single" w:color="auto" w:sz="4" w:space="0"/>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下行速率</w:t>
            </w:r>
          </w:p>
        </w:tc>
        <w:tc>
          <w:tcPr>
            <w:tcW w:w="1782"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大于</w:t>
            </w:r>
            <w:r>
              <w:rPr>
                <w:rFonts w:ascii="Times New Roman" w:hAnsi="Times New Roman" w:cs="Arial Unicode MS"/>
                <w:sz w:val="21"/>
                <w:szCs w:val="21"/>
              </w:rPr>
              <w:t>4Mbps</w:t>
            </w:r>
          </w:p>
        </w:tc>
        <w:tc>
          <w:tcPr>
            <w:tcW w:w="1751"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大于</w:t>
            </w:r>
            <w:r>
              <w:rPr>
                <w:rFonts w:ascii="Times New Roman" w:hAnsi="Times New Roman" w:cs="Arial Unicode MS"/>
                <w:sz w:val="21"/>
                <w:szCs w:val="21"/>
              </w:rPr>
              <w:t>100Mbps</w:t>
            </w:r>
          </w:p>
        </w:tc>
      </w:tr>
      <w:tr>
        <w:tblPrEx>
          <w:tblCellMar>
            <w:top w:w="0" w:type="dxa"/>
            <w:left w:w="108" w:type="dxa"/>
            <w:bottom w:w="0" w:type="dxa"/>
            <w:right w:w="108" w:type="dxa"/>
          </w:tblCellMar>
        </w:tblPrEx>
        <w:trPr>
          <w:trHeight w:val="270" w:hRule="atLeast"/>
          <w:jc w:val="center"/>
        </w:trPr>
        <w:tc>
          <w:tcPr>
            <w:tcW w:w="1467" w:type="pct"/>
            <w:tcBorders>
              <w:top w:val="nil"/>
              <w:left w:val="single" w:color="auto" w:sz="4" w:space="0"/>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下行频率</w:t>
            </w:r>
          </w:p>
        </w:tc>
        <w:tc>
          <w:tcPr>
            <w:tcW w:w="1782"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2130MHz</w:t>
            </w:r>
          </w:p>
        </w:tc>
        <w:tc>
          <w:tcPr>
            <w:tcW w:w="1751"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3500MHz</w:t>
            </w:r>
          </w:p>
        </w:tc>
      </w:tr>
      <w:tr>
        <w:tblPrEx>
          <w:tblCellMar>
            <w:top w:w="0" w:type="dxa"/>
            <w:left w:w="108" w:type="dxa"/>
            <w:bottom w:w="0" w:type="dxa"/>
            <w:right w:w="108" w:type="dxa"/>
          </w:tblCellMar>
        </w:tblPrEx>
        <w:trPr>
          <w:trHeight w:val="270" w:hRule="atLeast"/>
          <w:jc w:val="center"/>
        </w:trPr>
        <w:tc>
          <w:tcPr>
            <w:tcW w:w="1467" w:type="pct"/>
            <w:tcBorders>
              <w:top w:val="nil"/>
              <w:left w:val="single" w:color="auto" w:sz="4" w:space="0"/>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hint="eastAsia" w:ascii="Times New Roman" w:hAnsi="Times New Roman" w:cs="Arial Unicode MS"/>
                <w:sz w:val="21"/>
                <w:szCs w:val="21"/>
              </w:rPr>
              <w:t>室外站址距离要求</w:t>
            </w:r>
          </w:p>
        </w:tc>
        <w:tc>
          <w:tcPr>
            <w:tcW w:w="1782"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250~350</w:t>
            </w:r>
            <w:r>
              <w:rPr>
                <w:rFonts w:hint="eastAsia" w:ascii="Times New Roman" w:hAnsi="Times New Roman" w:cs="Arial Unicode MS"/>
                <w:sz w:val="21"/>
                <w:szCs w:val="21"/>
              </w:rPr>
              <w:t>米</w:t>
            </w:r>
          </w:p>
        </w:tc>
        <w:tc>
          <w:tcPr>
            <w:tcW w:w="1751" w:type="pct"/>
            <w:tcBorders>
              <w:top w:val="nil"/>
              <w:left w:val="nil"/>
              <w:bottom w:val="single" w:color="auto" w:sz="4" w:space="0"/>
              <w:right w:val="single" w:color="auto" w:sz="4" w:space="0"/>
            </w:tcBorders>
            <w:vAlign w:val="center"/>
          </w:tcPr>
          <w:p>
            <w:pPr>
              <w:widowControl w:val="0"/>
              <w:snapToGrid w:val="0"/>
              <w:ind w:left="312"/>
              <w:contextualSpacing/>
              <w:jc w:val="both"/>
              <w:rPr>
                <w:rFonts w:ascii="Times New Roman" w:hAnsi="Times New Roman" w:cs="Arial Unicode MS"/>
                <w:sz w:val="21"/>
                <w:szCs w:val="21"/>
              </w:rPr>
            </w:pPr>
            <w:r>
              <w:rPr>
                <w:rFonts w:ascii="Times New Roman" w:hAnsi="Times New Roman" w:cs="Arial Unicode MS"/>
                <w:sz w:val="21"/>
                <w:szCs w:val="21"/>
              </w:rPr>
              <w:t>200~300</w:t>
            </w:r>
            <w:r>
              <w:rPr>
                <w:rFonts w:hint="eastAsia" w:ascii="Times New Roman" w:hAnsi="Times New Roman" w:cs="Arial Unicode MS"/>
                <w:sz w:val="21"/>
                <w:szCs w:val="21"/>
              </w:rPr>
              <w:t>米</w:t>
            </w:r>
          </w:p>
        </w:tc>
      </w:tr>
    </w:tbl>
    <w:p>
      <w:pPr>
        <w:widowControl w:val="0"/>
        <w:snapToGrid w:val="0"/>
        <w:spacing w:line="360" w:lineRule="auto"/>
        <w:ind w:firstLine="480" w:firstLineChars="200"/>
        <w:contextualSpacing/>
        <w:jc w:val="both"/>
        <w:rPr>
          <w:rFonts w:ascii="Times New Roman" w:hAnsi="Times New Roman" w:cs="Times New Roman"/>
          <w:kern w:val="2"/>
        </w:rPr>
      </w:pP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）规划期内，需解决城市外扩的广度覆盖问题和城市内张的深度覆盖问题。</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）无线通信基站规划按照</w:t>
      </w:r>
      <w:r>
        <w:rPr>
          <w:rFonts w:ascii="Times New Roman" w:hAnsi="Times New Roman" w:cs="Times New Roman"/>
          <w:kern w:val="2"/>
        </w:rPr>
        <w:t>“</w:t>
      </w:r>
      <w:r>
        <w:rPr>
          <w:rFonts w:hint="eastAsia" w:ascii="Times New Roman" w:hAnsi="Times New Roman" w:cs="Times New Roman"/>
          <w:kern w:val="2"/>
        </w:rPr>
        <w:t>一步规划，分步实施</w:t>
      </w:r>
      <w:r>
        <w:rPr>
          <w:rFonts w:ascii="Times New Roman" w:hAnsi="Times New Roman" w:cs="Times New Roman"/>
          <w:kern w:val="2"/>
        </w:rPr>
        <w:t>”</w:t>
      </w:r>
      <w:r>
        <w:rPr>
          <w:rFonts w:hint="eastAsia" w:ascii="Times New Roman" w:hAnsi="Times New Roman" w:cs="Times New Roman"/>
          <w:kern w:val="2"/>
        </w:rPr>
        <w:t>的总体原则进行。一步规划是指按照满足规划期内业务需求进行站点规划，力求做到重点区域站点布局在较长时期内相对稳定，分布实施是指分期建设，跟随市政规划步骤分布实施位置规划。</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）综合考虑移动、联通、电信各运营商的需求，合理分配基站布局，规划站址实现完全共址共建共享。</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w:t>
      </w:r>
      <w:r>
        <w:rPr>
          <w:rFonts w:hint="eastAsia" w:ascii="Times New Roman" w:hAnsi="Times New Roman" w:cs="Times New Roman"/>
          <w:kern w:val="2"/>
        </w:rPr>
        <w:t>）基站建设要同步于城市规划建设，对于新建道路、功能开发区采取新建室外宏基站的方式解决覆盖问题；对新建的大型建筑、建筑群和高密度建筑区、居民区，采取室外宏基站与室内分布系统相结合的方式解决覆盖问题。本次规划只对室外宏基站布局做出规划，室分系统的建设由各运营商根据实际城市发展情况和测试情况按需建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5</w:t>
      </w:r>
      <w:r>
        <w:rPr>
          <w:rFonts w:hint="eastAsia" w:ascii="Times New Roman" w:hAnsi="Times New Roman" w:cs="Times New Roman"/>
          <w:kern w:val="2"/>
        </w:rPr>
        <w:t>）对城市改造区、重建区、新建区，用地规划、基础建设还处于开始阶段或尚未开始的，主要规划自建型基站，为其预留土地实现共站址和机房空间分配。对已建城区，主要规划自建型基站和原有基站改造。</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室外站址距离要求说明：</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首先，在进行覆盖估算前，运营商会对覆盖指标的判决准则进行规定，即小区覆盖边缘信号电平达到多少为有覆盖边缘速率满足多少为有数据业务，否则为无覆盖，各地方运营商会有所不同，如上面运营商要求的</w:t>
      </w:r>
      <w:r>
        <w:rPr>
          <w:rFonts w:ascii="Times New Roman" w:hAnsi="Times New Roman" w:cs="Times New Roman"/>
          <w:kern w:val="2"/>
        </w:rPr>
        <w:t>-90dBm</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其次，通过链路预算（链路预算是在一个通信系统中对发送端、通信链路、传播环境（大气、同轴电缆、波导、光纤等）和接收端中所有增益和衰减的核算。其通常用来估算信号能成功从发射端传送到接收端之间的最远距离）计算各种覆盖区域允许的最大路径损耗。其中链路预算计算公式为</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上行：</w:t>
      </w:r>
      <w:r>
        <w:rPr>
          <w:rFonts w:ascii="Times New Roman" w:hAnsi="Times New Roman" w:cs="Times New Roman"/>
          <w:kern w:val="2"/>
        </w:rPr>
        <w:t>PL_UL=Pout_UE+Ga_BS+Ga_UE-Lf_BS-Lp-Lb-Mf-Mp-Mi-S_BS</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其中</w:t>
      </w:r>
      <w:r>
        <w:rPr>
          <w:rFonts w:ascii="Times New Roman" w:hAnsi="Times New Roman" w:cs="Times New Roman"/>
          <w:kern w:val="2"/>
        </w:rPr>
        <w:t xml:space="preserve"> PL_UL:</w:t>
      </w:r>
      <w:r>
        <w:rPr>
          <w:rFonts w:hint="eastAsia" w:ascii="Times New Roman" w:hAnsi="Times New Roman" w:cs="Times New Roman"/>
          <w:kern w:val="2"/>
        </w:rPr>
        <w:t>上行链路最大传播损耗</w:t>
      </w:r>
      <w:r>
        <w:rPr>
          <w:rFonts w:ascii="Times New Roman" w:hAnsi="Times New Roman" w:cs="Times New Roman"/>
          <w:kern w:val="2"/>
        </w:rPr>
        <w:t>Pout_UE:</w:t>
      </w:r>
      <w:r>
        <w:rPr>
          <w:rFonts w:hint="eastAsia" w:ascii="Times New Roman" w:hAnsi="Times New Roman" w:cs="Times New Roman"/>
          <w:kern w:val="2"/>
        </w:rPr>
        <w:t>移动台最大发射功率</w:t>
      </w:r>
      <w:r>
        <w:rPr>
          <w:rFonts w:ascii="Times New Roman" w:hAnsi="Times New Roman" w:cs="Times New Roman"/>
          <w:kern w:val="2"/>
        </w:rPr>
        <w:t>Ga_UE:</w:t>
      </w:r>
      <w:r>
        <w:rPr>
          <w:rFonts w:hint="eastAsia" w:ascii="Times New Roman" w:hAnsi="Times New Roman" w:cs="Times New Roman"/>
          <w:kern w:val="2"/>
        </w:rPr>
        <w:t>移动台天线增益</w:t>
      </w:r>
      <w:r>
        <w:rPr>
          <w:rFonts w:ascii="Times New Roman" w:hAnsi="Times New Roman" w:cs="Times New Roman"/>
          <w:kern w:val="2"/>
        </w:rPr>
        <w:t>Ga_BS:</w:t>
      </w:r>
      <w:r>
        <w:rPr>
          <w:rFonts w:hint="eastAsia" w:ascii="Times New Roman" w:hAnsi="Times New Roman" w:cs="Times New Roman"/>
          <w:kern w:val="2"/>
        </w:rPr>
        <w:t>基站天线增益</w:t>
      </w:r>
      <w:r>
        <w:rPr>
          <w:rFonts w:ascii="Times New Roman" w:hAnsi="Times New Roman" w:cs="Times New Roman"/>
          <w:kern w:val="2"/>
        </w:rPr>
        <w:t>Lf_BS:</w:t>
      </w:r>
      <w:r>
        <w:rPr>
          <w:rFonts w:hint="eastAsia" w:ascii="Times New Roman" w:hAnsi="Times New Roman" w:cs="Times New Roman"/>
          <w:kern w:val="2"/>
        </w:rPr>
        <w:t>基站馈线损耗</w:t>
      </w:r>
      <w:r>
        <w:rPr>
          <w:rFonts w:ascii="Times New Roman" w:hAnsi="Times New Roman" w:cs="Times New Roman"/>
          <w:kern w:val="2"/>
        </w:rPr>
        <w:t>Lp</w:t>
      </w:r>
      <w:r>
        <w:rPr>
          <w:rFonts w:hint="eastAsia" w:ascii="Times New Roman" w:hAnsi="Times New Roman" w:cs="Times New Roman"/>
          <w:kern w:val="2"/>
        </w:rPr>
        <w:t>：穿透损耗</w:t>
      </w:r>
      <w:r>
        <w:rPr>
          <w:rFonts w:ascii="Times New Roman" w:hAnsi="Times New Roman" w:cs="Times New Roman"/>
          <w:kern w:val="2"/>
        </w:rPr>
        <w:t>Lb</w:t>
      </w:r>
      <w:r>
        <w:rPr>
          <w:rFonts w:hint="eastAsia" w:ascii="Times New Roman" w:hAnsi="Times New Roman" w:cs="Times New Roman"/>
          <w:kern w:val="2"/>
        </w:rPr>
        <w:t>：人体损耗</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Mf</w:t>
      </w:r>
      <w:r>
        <w:rPr>
          <w:rFonts w:hint="eastAsia" w:ascii="Times New Roman" w:hAnsi="Times New Roman" w:cs="Times New Roman"/>
          <w:kern w:val="2"/>
        </w:rPr>
        <w:t>：阴影衰落余量</w:t>
      </w:r>
      <w:r>
        <w:rPr>
          <w:rFonts w:ascii="Times New Roman" w:hAnsi="Times New Roman" w:cs="Times New Roman"/>
          <w:kern w:val="2"/>
        </w:rPr>
        <w:t>Mi</w:t>
      </w:r>
      <w:r>
        <w:rPr>
          <w:rFonts w:hint="eastAsia" w:ascii="Times New Roman" w:hAnsi="Times New Roman" w:cs="Times New Roman"/>
          <w:kern w:val="2"/>
        </w:rPr>
        <w:t>：干扰余量</w:t>
      </w:r>
      <w:r>
        <w:rPr>
          <w:rFonts w:ascii="Times New Roman" w:hAnsi="Times New Roman" w:cs="Times New Roman"/>
          <w:kern w:val="2"/>
        </w:rPr>
        <w:t>Mp</w:t>
      </w:r>
      <w:r>
        <w:rPr>
          <w:rFonts w:hint="eastAsia" w:ascii="Times New Roman" w:hAnsi="Times New Roman" w:cs="Times New Roman"/>
          <w:kern w:val="2"/>
        </w:rPr>
        <w:t>：快衰落（功控）余量</w:t>
      </w:r>
      <w:r>
        <w:rPr>
          <w:rFonts w:ascii="Times New Roman" w:hAnsi="Times New Roman" w:cs="Times New Roman"/>
          <w:kern w:val="2"/>
        </w:rPr>
        <w:t xml:space="preserve"> S_BS</w:t>
      </w:r>
      <w:r>
        <w:rPr>
          <w:rFonts w:hint="eastAsia" w:ascii="Times New Roman" w:hAnsi="Times New Roman" w:cs="Times New Roman"/>
          <w:kern w:val="2"/>
        </w:rPr>
        <w:t>：基站接收机灵敏度。</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下行公式为：</w:t>
      </w:r>
      <w:r>
        <w:rPr>
          <w:rFonts w:ascii="Times New Roman" w:hAnsi="Times New Roman" w:cs="Times New Roman"/>
          <w:kern w:val="2"/>
        </w:rPr>
        <w:t>PL_DL=Pout_BS+Ga_BS+Ga_UE-Lf_BS-Lp-Lb-Mf-Mp-Mi-S_UE</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各参数含义可参考上行公式。</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上下行预算结果一般不同，实际有效的覆盖范围将取决于上下行两路预算中的较小者。</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第三步，计算出最大路径损耗后，通过传播模型计算最大损耗情况下小区的覆盖半径。</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依照移动</w:t>
      </w:r>
      <w:r>
        <w:rPr>
          <w:rFonts w:ascii="Times New Roman" w:hAnsi="Times New Roman" w:cs="Times New Roman"/>
          <w:kern w:val="2"/>
        </w:rPr>
        <w:t>5G</w:t>
      </w:r>
      <w:r>
        <w:rPr>
          <w:rFonts w:hint="eastAsia" w:ascii="Times New Roman" w:hAnsi="Times New Roman" w:cs="Times New Roman"/>
          <w:kern w:val="2"/>
        </w:rPr>
        <w:t>频率为例：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参照</w:t>
      </w:r>
      <w:r>
        <w:rPr>
          <w:rFonts w:ascii="Times New Roman" w:hAnsi="Times New Roman" w:cs="Times New Roman"/>
          <w:kern w:val="2"/>
        </w:rPr>
        <w:t>5G</w:t>
      </w:r>
      <w:r>
        <w:rPr>
          <w:rFonts w:hint="eastAsia" w:ascii="Times New Roman" w:hAnsi="Times New Roman" w:cs="Times New Roman"/>
          <w:kern w:val="2"/>
        </w:rPr>
        <w:t>下行边缘速率</w:t>
      </w:r>
      <w:r>
        <w:rPr>
          <w:rFonts w:ascii="Times New Roman" w:hAnsi="Times New Roman" w:cs="Times New Roman"/>
          <w:kern w:val="2"/>
        </w:rPr>
        <w:t>50Mbps</w:t>
      </w:r>
      <w:r>
        <w:rPr>
          <w:rFonts w:hint="eastAsia" w:ascii="Times New Roman" w:hAnsi="Times New Roman" w:cs="Times New Roman"/>
          <w:kern w:val="2"/>
        </w:rPr>
        <w:t>，上行边缘速率</w:t>
      </w:r>
      <w:r>
        <w:rPr>
          <w:rFonts w:ascii="Times New Roman" w:hAnsi="Times New Roman" w:cs="Times New Roman"/>
          <w:kern w:val="2"/>
        </w:rPr>
        <w:t>5Mbps</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本次仿真通用参数如下：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地图：采用三维地图；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传播模型为</w:t>
      </w:r>
      <w:r>
        <w:rPr>
          <w:rFonts w:ascii="Times New Roman" w:hAnsi="Times New Roman" w:cs="Times New Roman"/>
          <w:kern w:val="2"/>
        </w:rPr>
        <w:t>UMA</w:t>
      </w:r>
      <w:r>
        <w:rPr>
          <w:rFonts w:hint="eastAsia" w:ascii="Times New Roman" w:hAnsi="Times New Roman" w:cs="Times New Roman"/>
          <w:kern w:val="2"/>
        </w:rPr>
        <w:t>模型；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手机发射功率</w:t>
      </w:r>
      <w:r>
        <w:rPr>
          <w:rFonts w:ascii="Times New Roman" w:hAnsi="Times New Roman" w:cs="Times New Roman"/>
          <w:kern w:val="2"/>
        </w:rPr>
        <w:t>NSA</w:t>
      </w:r>
      <w:r>
        <w:rPr>
          <w:rFonts w:hint="eastAsia" w:ascii="Times New Roman" w:hAnsi="Times New Roman" w:cs="Times New Roman"/>
          <w:kern w:val="2"/>
        </w:rPr>
        <w:t>：</w:t>
      </w:r>
      <w:r>
        <w:rPr>
          <w:rFonts w:ascii="Times New Roman" w:hAnsi="Times New Roman" w:cs="Times New Roman"/>
          <w:kern w:val="2"/>
        </w:rPr>
        <w:t>23dBm</w:t>
      </w:r>
      <w:r>
        <w:rPr>
          <w:rFonts w:hint="eastAsia" w:ascii="Times New Roman" w:hAnsi="Times New Roman" w:cs="Times New Roman"/>
          <w:kern w:val="2"/>
        </w:rPr>
        <w:t>，</w:t>
      </w:r>
      <w:r>
        <w:rPr>
          <w:rFonts w:ascii="Times New Roman" w:hAnsi="Times New Roman" w:cs="Times New Roman"/>
          <w:kern w:val="2"/>
        </w:rPr>
        <w:t>SA</w:t>
      </w:r>
      <w:r>
        <w:rPr>
          <w:rFonts w:hint="eastAsia" w:ascii="Times New Roman" w:hAnsi="Times New Roman" w:cs="Times New Roman"/>
          <w:kern w:val="2"/>
        </w:rPr>
        <w:t>：</w:t>
      </w:r>
      <w:r>
        <w:rPr>
          <w:rFonts w:ascii="Times New Roman" w:hAnsi="Times New Roman" w:cs="Times New Roman"/>
          <w:kern w:val="2"/>
        </w:rPr>
        <w:t>26dBm</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小区发射功率</w:t>
      </w:r>
      <w:r>
        <w:rPr>
          <w:rFonts w:ascii="Times New Roman" w:hAnsi="Times New Roman" w:cs="Times New Roman"/>
          <w:kern w:val="2"/>
        </w:rPr>
        <w:t>53dBm</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MiMo</w:t>
      </w:r>
      <w:r>
        <w:rPr>
          <w:rFonts w:hint="eastAsia" w:ascii="Times New Roman" w:hAnsi="Times New Roman" w:cs="Times New Roman"/>
          <w:kern w:val="2"/>
        </w:rPr>
        <w:t>模式：上行：分集；下行：分集。</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根据链路运算公式计算，不论是</w:t>
      </w:r>
      <w:r>
        <w:rPr>
          <w:rFonts w:ascii="Times New Roman" w:hAnsi="Times New Roman" w:cs="Times New Roman"/>
          <w:kern w:val="2"/>
        </w:rPr>
        <w:t>5G</w:t>
      </w:r>
      <w:r>
        <w:rPr>
          <w:rFonts w:hint="eastAsia" w:ascii="Times New Roman" w:hAnsi="Times New Roman" w:cs="Times New Roman"/>
          <w:kern w:val="2"/>
        </w:rPr>
        <w:t>还是</w:t>
      </w:r>
      <w:r>
        <w:rPr>
          <w:rFonts w:ascii="Times New Roman" w:hAnsi="Times New Roman" w:cs="Times New Roman"/>
          <w:kern w:val="2"/>
        </w:rPr>
        <w:t>4G</w:t>
      </w:r>
      <w:r>
        <w:rPr>
          <w:rFonts w:hint="eastAsia" w:ascii="Times New Roman" w:hAnsi="Times New Roman" w:cs="Times New Roman"/>
          <w:kern w:val="2"/>
        </w:rPr>
        <w:t>，最大站间距均由上行覆盖能力决定。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仅考虑浅层室内覆盖的情况下，如果考虑小区边界达到</w:t>
      </w:r>
      <w:r>
        <w:rPr>
          <w:rFonts w:ascii="Times New Roman" w:hAnsi="Times New Roman" w:cs="Times New Roman"/>
          <w:kern w:val="2"/>
        </w:rPr>
        <w:t>5G</w:t>
      </w:r>
      <w:r>
        <w:rPr>
          <w:rFonts w:hint="eastAsia" w:ascii="Times New Roman" w:hAnsi="Times New Roman" w:cs="Times New Roman"/>
          <w:kern w:val="2"/>
        </w:rPr>
        <w:t>应用的基本速率要求（下行</w:t>
      </w:r>
      <w:r>
        <w:rPr>
          <w:rFonts w:ascii="Times New Roman" w:hAnsi="Times New Roman" w:cs="Times New Roman"/>
          <w:kern w:val="2"/>
        </w:rPr>
        <w:t>50Mbps/</w:t>
      </w:r>
      <w:r>
        <w:rPr>
          <w:rFonts w:hint="eastAsia" w:ascii="Times New Roman" w:hAnsi="Times New Roman" w:cs="Times New Roman"/>
          <w:kern w:val="2"/>
        </w:rPr>
        <w:t>上行</w:t>
      </w:r>
      <w:r>
        <w:rPr>
          <w:rFonts w:ascii="Times New Roman" w:hAnsi="Times New Roman" w:cs="Times New Roman"/>
          <w:kern w:val="2"/>
        </w:rPr>
        <w:t>5Mbps</w:t>
      </w:r>
      <w:r>
        <w:rPr>
          <w:rFonts w:hint="eastAsia" w:ascii="Times New Roman" w:hAnsi="Times New Roman" w:cs="Times New Roman"/>
          <w:kern w:val="2"/>
        </w:rPr>
        <w:t>），</w:t>
      </w:r>
      <w:r>
        <w:rPr>
          <w:rFonts w:ascii="Times New Roman" w:hAnsi="Times New Roman" w:cs="Times New Roman"/>
          <w:kern w:val="2"/>
        </w:rPr>
        <w:t>NR2.6</w:t>
      </w:r>
      <w:r>
        <w:rPr>
          <w:rFonts w:hint="eastAsia" w:ascii="Times New Roman" w:hAnsi="Times New Roman" w:cs="Times New Roman"/>
          <w:kern w:val="2"/>
        </w:rPr>
        <w:t>支持的</w:t>
      </w:r>
      <w:r>
        <w:rPr>
          <w:rFonts w:ascii="Times New Roman" w:hAnsi="Times New Roman" w:cs="Times New Roman"/>
          <w:kern w:val="2"/>
        </w:rPr>
        <w:t xml:space="preserve"> </w:t>
      </w:r>
      <w:r>
        <w:rPr>
          <w:rFonts w:hint="eastAsia" w:ascii="Times New Roman" w:hAnsi="Times New Roman" w:cs="Times New Roman"/>
          <w:kern w:val="2"/>
        </w:rPr>
        <w:t>最大站间距为</w:t>
      </w:r>
      <w:r>
        <w:rPr>
          <w:rFonts w:ascii="Times New Roman" w:hAnsi="Times New Roman" w:cs="Times New Roman"/>
          <w:kern w:val="2"/>
        </w:rPr>
        <w:t>515</w:t>
      </w:r>
      <w:r>
        <w:rPr>
          <w:rFonts w:hint="eastAsia" w:ascii="Times New Roman" w:hAnsi="Times New Roman" w:cs="Times New Roman"/>
          <w:kern w:val="2"/>
        </w:rPr>
        <w:t>米（</w:t>
      </w:r>
      <w:r>
        <w:rPr>
          <w:rFonts w:ascii="Times New Roman" w:hAnsi="Times New Roman" w:cs="Times New Roman"/>
          <w:kern w:val="2"/>
        </w:rPr>
        <w:t xml:space="preserve">SA); </w:t>
      </w:r>
      <w:r>
        <w:rPr>
          <w:rFonts w:hint="eastAsia" w:ascii="Times New Roman" w:hAnsi="Times New Roman" w:cs="Times New Roman"/>
          <w:kern w:val="2"/>
        </w:rPr>
        <w:t>如果</w:t>
      </w:r>
      <w:r>
        <w:rPr>
          <w:rFonts w:ascii="Times New Roman" w:hAnsi="Times New Roman" w:cs="Times New Roman"/>
          <w:kern w:val="2"/>
        </w:rPr>
        <w:t>NSA</w:t>
      </w:r>
      <w:r>
        <w:rPr>
          <w:rFonts w:hint="eastAsia" w:ascii="Times New Roman" w:hAnsi="Times New Roman" w:cs="Times New Roman"/>
          <w:kern w:val="2"/>
        </w:rPr>
        <w:t>组网，则对应的（下行</w:t>
      </w:r>
      <w:r>
        <w:rPr>
          <w:rFonts w:ascii="Times New Roman" w:hAnsi="Times New Roman" w:cs="Times New Roman"/>
          <w:kern w:val="2"/>
        </w:rPr>
        <w:t>50Mbps/</w:t>
      </w:r>
      <w:r>
        <w:rPr>
          <w:rFonts w:hint="eastAsia" w:ascii="Times New Roman" w:hAnsi="Times New Roman" w:cs="Times New Roman"/>
          <w:kern w:val="2"/>
        </w:rPr>
        <w:t>上行</w:t>
      </w:r>
      <w:r>
        <w:rPr>
          <w:rFonts w:ascii="Times New Roman" w:hAnsi="Times New Roman" w:cs="Times New Roman"/>
          <w:kern w:val="2"/>
        </w:rPr>
        <w:t>5Mbps</w:t>
      </w:r>
      <w:r>
        <w:rPr>
          <w:rFonts w:hint="eastAsia" w:ascii="Times New Roman" w:hAnsi="Times New Roman" w:cs="Times New Roman"/>
          <w:kern w:val="2"/>
        </w:rPr>
        <w:t>）站间距为</w:t>
      </w:r>
      <w:r>
        <w:rPr>
          <w:rFonts w:ascii="Times New Roman" w:hAnsi="Times New Roman" w:cs="Times New Roman"/>
          <w:kern w:val="2"/>
        </w:rPr>
        <w:t>386</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如果采用</w:t>
      </w:r>
      <w:r>
        <w:rPr>
          <w:rFonts w:ascii="Times New Roman" w:hAnsi="Times New Roman" w:cs="Times New Roman"/>
          <w:kern w:val="2"/>
        </w:rPr>
        <w:t>SUL1.8GHz</w:t>
      </w:r>
      <w:r>
        <w:rPr>
          <w:rFonts w:hint="eastAsia" w:ascii="Times New Roman" w:hAnsi="Times New Roman" w:cs="Times New Roman"/>
          <w:kern w:val="2"/>
        </w:rPr>
        <w:t>技术来提升上行覆盖，</w:t>
      </w:r>
      <w:r>
        <w:rPr>
          <w:rFonts w:ascii="Times New Roman" w:hAnsi="Times New Roman" w:cs="Times New Roman"/>
          <w:kern w:val="2"/>
        </w:rPr>
        <w:t>SUL</w:t>
      </w:r>
      <w:r>
        <w:rPr>
          <w:rFonts w:hint="eastAsia" w:ascii="Times New Roman" w:hAnsi="Times New Roman" w:cs="Times New Roman"/>
          <w:kern w:val="2"/>
        </w:rPr>
        <w:t>技术对</w:t>
      </w:r>
      <w:r>
        <w:rPr>
          <w:rFonts w:ascii="Times New Roman" w:hAnsi="Times New Roman" w:cs="Times New Roman"/>
          <w:kern w:val="2"/>
        </w:rPr>
        <w:t>NR2.6GHz</w:t>
      </w:r>
      <w:r>
        <w:rPr>
          <w:rFonts w:hint="eastAsia" w:ascii="Times New Roman" w:hAnsi="Times New Roman" w:cs="Times New Roman"/>
          <w:kern w:val="2"/>
        </w:rPr>
        <w:t>在边缘速率为</w:t>
      </w:r>
      <w:r>
        <w:rPr>
          <w:rFonts w:ascii="Times New Roman" w:hAnsi="Times New Roman" w:cs="Times New Roman"/>
          <w:kern w:val="2"/>
        </w:rPr>
        <w:t>1Mbps</w:t>
      </w:r>
      <w:r>
        <w:rPr>
          <w:rFonts w:hint="eastAsia" w:ascii="Times New Roman" w:hAnsi="Times New Roman" w:cs="Times New Roman"/>
          <w:kern w:val="2"/>
        </w:rPr>
        <w:t>、</w:t>
      </w:r>
      <w:r>
        <w:rPr>
          <w:rFonts w:ascii="Times New Roman" w:hAnsi="Times New Roman" w:cs="Times New Roman"/>
          <w:kern w:val="2"/>
        </w:rPr>
        <w:t>2Mbps</w:t>
      </w:r>
      <w:r>
        <w:rPr>
          <w:rFonts w:hint="eastAsia" w:ascii="Times New Roman" w:hAnsi="Times New Roman" w:cs="Times New Roman"/>
          <w:kern w:val="2"/>
        </w:rPr>
        <w:t>时对站间距有很小的增益；当边缘速率为</w:t>
      </w:r>
      <w:r>
        <w:rPr>
          <w:rFonts w:ascii="Times New Roman" w:hAnsi="Times New Roman" w:cs="Times New Roman"/>
          <w:kern w:val="2"/>
        </w:rPr>
        <w:t>5Mbps</w:t>
      </w:r>
      <w:r>
        <w:rPr>
          <w:rFonts w:hint="eastAsia" w:ascii="Times New Roman" w:hAnsi="Times New Roman" w:cs="Times New Roman"/>
          <w:kern w:val="2"/>
        </w:rPr>
        <w:t>时，站间距的增益已没有。</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31" o:spt="75" type="#_x0000_t75" style="height:152.25pt;width:463.5pt;" filled="f" o:preferrelative="t" stroked="f" coordsize="21600,21600">
            <v:path/>
            <v:fill on="f" focussize="0,0"/>
            <v:stroke on="f" joinstyle="miter"/>
            <v:imagedata r:id="rId21" o:title=""/>
            <o:lock v:ext="edit" aspectratio="t"/>
            <w10:wrap type="none"/>
            <w10:anchorlock/>
          </v:shape>
        </w:pict>
      </w:r>
    </w:p>
    <w:p>
      <w:pPr>
        <w:pStyle w:val="8"/>
        <w:spacing w:before="48" w:after="48"/>
      </w:pPr>
      <w:r>
        <w:rPr>
          <w:rFonts w:hint="eastAsia"/>
        </w:rPr>
        <w:t>图</w:t>
      </w:r>
      <w:r>
        <w:t>6-2 5G</w:t>
      </w:r>
      <w:r>
        <w:rPr>
          <w:rFonts w:hint="eastAsia"/>
        </w:rPr>
        <w:t>室内浅层覆盖宏站链路预算结果</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考虑深层室内覆盖的情况下，如果考虑小区边界达到</w:t>
      </w:r>
      <w:r>
        <w:rPr>
          <w:rFonts w:ascii="Times New Roman" w:hAnsi="Times New Roman" w:cs="Times New Roman"/>
          <w:kern w:val="2"/>
        </w:rPr>
        <w:t>5G</w:t>
      </w:r>
      <w:r>
        <w:rPr>
          <w:rFonts w:hint="eastAsia" w:ascii="Times New Roman" w:hAnsi="Times New Roman" w:cs="Times New Roman"/>
          <w:kern w:val="2"/>
        </w:rPr>
        <w:t>应用的基本速率要求（下行</w:t>
      </w:r>
      <w:r>
        <w:rPr>
          <w:rFonts w:ascii="Times New Roman" w:hAnsi="Times New Roman" w:cs="Times New Roman"/>
          <w:kern w:val="2"/>
        </w:rPr>
        <w:t>50Mbps/</w:t>
      </w:r>
      <w:r>
        <w:rPr>
          <w:rFonts w:hint="eastAsia" w:ascii="Times New Roman" w:hAnsi="Times New Roman" w:cs="Times New Roman"/>
          <w:kern w:val="2"/>
        </w:rPr>
        <w:t>上行</w:t>
      </w:r>
      <w:r>
        <w:rPr>
          <w:rFonts w:ascii="Times New Roman" w:hAnsi="Times New Roman" w:cs="Times New Roman"/>
          <w:kern w:val="2"/>
        </w:rPr>
        <w:t>5Mbps</w:t>
      </w:r>
      <w:r>
        <w:rPr>
          <w:rFonts w:hint="eastAsia" w:ascii="Times New Roman" w:hAnsi="Times New Roman" w:cs="Times New Roman"/>
          <w:kern w:val="2"/>
        </w:rPr>
        <w:t>），</w:t>
      </w:r>
      <w:r>
        <w:rPr>
          <w:rFonts w:ascii="Times New Roman" w:hAnsi="Times New Roman" w:cs="Times New Roman"/>
          <w:kern w:val="2"/>
        </w:rPr>
        <w:t xml:space="preserve">NR2.6 </w:t>
      </w:r>
      <w:r>
        <w:rPr>
          <w:rFonts w:hint="eastAsia" w:ascii="Times New Roman" w:hAnsi="Times New Roman" w:cs="Times New Roman"/>
          <w:kern w:val="2"/>
        </w:rPr>
        <w:t>支持的最大站间距为</w:t>
      </w:r>
      <w:r>
        <w:rPr>
          <w:rFonts w:ascii="Times New Roman" w:hAnsi="Times New Roman" w:cs="Times New Roman"/>
          <w:kern w:val="2"/>
        </w:rPr>
        <w:t>341</w:t>
      </w:r>
      <w:r>
        <w:rPr>
          <w:rFonts w:hint="eastAsia" w:ascii="Times New Roman" w:hAnsi="Times New Roman" w:cs="Times New Roman"/>
          <w:kern w:val="2"/>
        </w:rPr>
        <w:t>米（</w:t>
      </w:r>
      <w:r>
        <w:rPr>
          <w:rFonts w:ascii="Times New Roman" w:hAnsi="Times New Roman" w:cs="Times New Roman"/>
          <w:kern w:val="2"/>
        </w:rPr>
        <w:t>SA);</w:t>
      </w:r>
      <w:r>
        <w:rPr>
          <w:rFonts w:hint="eastAsia" w:ascii="Times New Roman" w:hAnsi="Times New Roman" w:cs="Times New Roman"/>
          <w:kern w:val="2"/>
        </w:rPr>
        <w:t>如果</w:t>
      </w:r>
      <w:r>
        <w:rPr>
          <w:rFonts w:ascii="Times New Roman" w:hAnsi="Times New Roman" w:cs="Times New Roman"/>
          <w:kern w:val="2"/>
        </w:rPr>
        <w:t>NSA</w:t>
      </w:r>
      <w:r>
        <w:rPr>
          <w:rFonts w:hint="eastAsia" w:ascii="Times New Roman" w:hAnsi="Times New Roman" w:cs="Times New Roman"/>
          <w:kern w:val="2"/>
        </w:rPr>
        <w:t>组网，则对应的</w:t>
      </w:r>
      <w:r>
        <w:rPr>
          <w:rFonts w:ascii="Times New Roman" w:hAnsi="Times New Roman" w:cs="Times New Roman"/>
          <w:kern w:val="2"/>
        </w:rPr>
        <w:t xml:space="preserve"> </w:t>
      </w:r>
      <w:r>
        <w:rPr>
          <w:rFonts w:hint="eastAsia" w:ascii="Times New Roman" w:hAnsi="Times New Roman" w:cs="Times New Roman"/>
          <w:kern w:val="2"/>
        </w:rPr>
        <w:t>（下行</w:t>
      </w:r>
      <w:r>
        <w:rPr>
          <w:rFonts w:ascii="Times New Roman" w:hAnsi="Times New Roman" w:cs="Times New Roman"/>
          <w:kern w:val="2"/>
        </w:rPr>
        <w:t>50Mbps/</w:t>
      </w:r>
      <w:r>
        <w:rPr>
          <w:rFonts w:hint="eastAsia" w:ascii="Times New Roman" w:hAnsi="Times New Roman" w:cs="Times New Roman"/>
          <w:kern w:val="2"/>
        </w:rPr>
        <w:t>上行</w:t>
      </w:r>
      <w:r>
        <w:rPr>
          <w:rFonts w:ascii="Times New Roman" w:hAnsi="Times New Roman" w:cs="Times New Roman"/>
          <w:kern w:val="2"/>
        </w:rPr>
        <w:t>5Mbps</w:t>
      </w:r>
      <w:r>
        <w:rPr>
          <w:rFonts w:hint="eastAsia" w:ascii="Times New Roman" w:hAnsi="Times New Roman" w:cs="Times New Roman"/>
          <w:kern w:val="2"/>
        </w:rPr>
        <w:t>）站间距为</w:t>
      </w:r>
      <w:r>
        <w:rPr>
          <w:rFonts w:ascii="Times New Roman" w:hAnsi="Times New Roman" w:cs="Times New Roman"/>
          <w:kern w:val="2"/>
        </w:rPr>
        <w:t>256</w:t>
      </w:r>
      <w:r>
        <w:rPr>
          <w:rFonts w:hint="eastAsia" w:ascii="Times New Roman" w:hAnsi="Times New Roman" w:cs="Times New Roman"/>
          <w:kern w:val="2"/>
        </w:rPr>
        <w:t>米。</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如果采用</w:t>
      </w:r>
      <w:r>
        <w:rPr>
          <w:rFonts w:ascii="Times New Roman" w:hAnsi="Times New Roman" w:cs="Times New Roman"/>
          <w:kern w:val="2"/>
        </w:rPr>
        <w:t>SUL1.8GHz</w:t>
      </w:r>
      <w:r>
        <w:rPr>
          <w:rFonts w:hint="eastAsia" w:ascii="Times New Roman" w:hAnsi="Times New Roman" w:cs="Times New Roman"/>
          <w:kern w:val="2"/>
        </w:rPr>
        <w:t>技术来提升上行速率，</w:t>
      </w:r>
      <w:r>
        <w:rPr>
          <w:rFonts w:ascii="Times New Roman" w:hAnsi="Times New Roman" w:cs="Times New Roman"/>
          <w:kern w:val="2"/>
        </w:rPr>
        <w:t>SUL</w:t>
      </w:r>
      <w:r>
        <w:rPr>
          <w:rFonts w:hint="eastAsia" w:ascii="Times New Roman" w:hAnsi="Times New Roman" w:cs="Times New Roman"/>
          <w:kern w:val="2"/>
        </w:rPr>
        <w:t>技术对</w:t>
      </w:r>
      <w:r>
        <w:rPr>
          <w:rFonts w:ascii="Times New Roman" w:hAnsi="Times New Roman" w:cs="Times New Roman"/>
          <w:kern w:val="2"/>
        </w:rPr>
        <w:t>NR2.6GHz</w:t>
      </w:r>
      <w:r>
        <w:rPr>
          <w:rFonts w:hint="eastAsia" w:ascii="Times New Roman" w:hAnsi="Times New Roman" w:cs="Times New Roman"/>
          <w:kern w:val="2"/>
        </w:rPr>
        <w:t>在边缘速率为</w:t>
      </w:r>
      <w:r>
        <w:rPr>
          <w:rFonts w:ascii="Times New Roman" w:hAnsi="Times New Roman" w:cs="Times New Roman"/>
          <w:kern w:val="2"/>
        </w:rPr>
        <w:t>1Mbps</w:t>
      </w:r>
      <w:r>
        <w:rPr>
          <w:rFonts w:hint="eastAsia" w:ascii="Times New Roman" w:hAnsi="Times New Roman" w:cs="Times New Roman"/>
          <w:kern w:val="2"/>
        </w:rPr>
        <w:t>、</w:t>
      </w:r>
      <w:r>
        <w:rPr>
          <w:rFonts w:ascii="Times New Roman" w:hAnsi="Times New Roman" w:cs="Times New Roman"/>
          <w:kern w:val="2"/>
        </w:rPr>
        <w:t>2Mbps</w:t>
      </w:r>
      <w:r>
        <w:rPr>
          <w:rFonts w:hint="eastAsia" w:ascii="Times New Roman" w:hAnsi="Times New Roman" w:cs="Times New Roman"/>
          <w:kern w:val="2"/>
        </w:rPr>
        <w:t>时站间距有一定的增益，当边缘速率为</w:t>
      </w:r>
      <w:r>
        <w:rPr>
          <w:rFonts w:ascii="Times New Roman" w:hAnsi="Times New Roman" w:cs="Times New Roman"/>
          <w:kern w:val="2"/>
        </w:rPr>
        <w:t>5Mbps</w:t>
      </w:r>
      <w:r>
        <w:rPr>
          <w:rFonts w:hint="eastAsia" w:ascii="Times New Roman" w:hAnsi="Times New Roman" w:cs="Times New Roman"/>
          <w:kern w:val="2"/>
        </w:rPr>
        <w:t>时，站间距增益已很小。</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32" o:spt="75" type="#_x0000_t75" style="height:186.75pt;width:465pt;" filled="f" o:preferrelative="t" stroked="f" coordsize="21600,21600">
            <v:path/>
            <v:fill on="f" focussize="0,0"/>
            <v:stroke on="f" joinstyle="miter"/>
            <v:imagedata r:id="rId22" o:title=""/>
            <o:lock v:ext="edit" aspectratio="t"/>
            <w10:wrap type="none"/>
            <w10:anchorlock/>
          </v:shape>
        </w:pict>
      </w:r>
    </w:p>
    <w:p>
      <w:pPr>
        <w:pStyle w:val="8"/>
        <w:spacing w:before="48" w:after="48"/>
      </w:pPr>
      <w:r>
        <w:rPr>
          <w:rFonts w:hint="eastAsia"/>
        </w:rPr>
        <w:t>图</w:t>
      </w:r>
      <w:r>
        <w:t>6-3 5G</w:t>
      </w:r>
      <w:r>
        <w:rPr>
          <w:rFonts w:hint="eastAsia"/>
        </w:rPr>
        <w:t>室内深层覆盖宏站链路预算结果</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综合考虑</w:t>
      </w:r>
      <w:r>
        <w:rPr>
          <w:rFonts w:ascii="Times New Roman" w:hAnsi="Times New Roman" w:cs="Times New Roman"/>
          <w:kern w:val="2"/>
        </w:rPr>
        <w:t>5G</w:t>
      </w:r>
      <w:r>
        <w:rPr>
          <w:rFonts w:hint="eastAsia" w:ascii="Times New Roman" w:hAnsi="Times New Roman" w:cs="Times New Roman"/>
          <w:kern w:val="2"/>
        </w:rPr>
        <w:t>业务发展趋势和梁平区的地形地貌，</w:t>
      </w:r>
      <w:r>
        <w:rPr>
          <w:rFonts w:ascii="Times New Roman" w:hAnsi="Times New Roman" w:cs="Times New Roman"/>
          <w:kern w:val="2"/>
        </w:rPr>
        <w:t>5G</w:t>
      </w:r>
      <w:r>
        <w:rPr>
          <w:rFonts w:hint="eastAsia" w:ascii="Times New Roman" w:hAnsi="Times New Roman" w:cs="Times New Roman"/>
          <w:kern w:val="2"/>
        </w:rPr>
        <w:t>站间距设置标准如下。</w:t>
      </w:r>
    </w:p>
    <w:p>
      <w:pPr>
        <w:pStyle w:val="8"/>
        <w:spacing w:before="48" w:after="48"/>
      </w:pPr>
      <w:r>
        <w:rPr>
          <w:rFonts w:hint="eastAsia"/>
        </w:rPr>
        <w:t>表</w:t>
      </w:r>
      <w:r>
        <w:t xml:space="preserve">6-3 </w:t>
      </w:r>
      <w:r>
        <w:rPr>
          <w:rFonts w:hint="eastAsia"/>
        </w:rPr>
        <w:t>梁平</w:t>
      </w:r>
      <w:r>
        <w:t>5G</w:t>
      </w:r>
      <w:r>
        <w:rPr>
          <w:rFonts w:hint="eastAsia"/>
        </w:rPr>
        <w:t>宏基站设置标准</w:t>
      </w:r>
    </w:p>
    <w:tbl>
      <w:tblPr>
        <w:tblStyle w:val="30"/>
        <w:tblW w:w="5000" w:type="pct"/>
        <w:jc w:val="center"/>
        <w:tblLayout w:type="autofit"/>
        <w:tblCellMar>
          <w:top w:w="0" w:type="dxa"/>
          <w:left w:w="108" w:type="dxa"/>
          <w:bottom w:w="0" w:type="dxa"/>
          <w:right w:w="108" w:type="dxa"/>
        </w:tblCellMar>
      </w:tblPr>
      <w:tblGrid>
        <w:gridCol w:w="1493"/>
        <w:gridCol w:w="1948"/>
        <w:gridCol w:w="1623"/>
        <w:gridCol w:w="2477"/>
        <w:gridCol w:w="2007"/>
      </w:tblGrid>
      <w:tr>
        <w:tblPrEx>
          <w:tblCellMar>
            <w:top w:w="0" w:type="dxa"/>
            <w:left w:w="108" w:type="dxa"/>
            <w:bottom w:w="0" w:type="dxa"/>
            <w:right w:w="108" w:type="dxa"/>
          </w:tblCellMar>
        </w:tblPrEx>
        <w:trPr>
          <w:trHeight w:val="270" w:hRule="atLeast"/>
          <w:jc w:val="center"/>
        </w:trPr>
        <w:tc>
          <w:tcPr>
            <w:tcW w:w="782" w:type="pct"/>
            <w:vMerge w:val="restar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通信企业</w:t>
            </w:r>
          </w:p>
        </w:tc>
        <w:tc>
          <w:tcPr>
            <w:tcW w:w="1020" w:type="pct"/>
            <w:vMerge w:val="restart"/>
            <w:tcBorders>
              <w:top w:val="single" w:color="auto" w:sz="4" w:space="0"/>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频率</w:t>
            </w:r>
          </w:p>
        </w:tc>
        <w:tc>
          <w:tcPr>
            <w:tcW w:w="850" w:type="pct"/>
            <w:vMerge w:val="restar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覆盖受限系统</w:t>
            </w:r>
          </w:p>
        </w:tc>
        <w:tc>
          <w:tcPr>
            <w:tcW w:w="2348" w:type="pct"/>
            <w:gridSpan w:val="2"/>
            <w:tcBorders>
              <w:top w:val="single" w:color="auto" w:sz="4" w:space="0"/>
              <w:left w:val="nil"/>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站距参考（米）</w:t>
            </w:r>
          </w:p>
        </w:tc>
      </w:tr>
      <w:tr>
        <w:tblPrEx>
          <w:tblCellMar>
            <w:top w:w="0" w:type="dxa"/>
            <w:left w:w="108" w:type="dxa"/>
            <w:bottom w:w="0" w:type="dxa"/>
            <w:right w:w="108" w:type="dxa"/>
          </w:tblCellMar>
        </w:tblPrEx>
        <w:trPr>
          <w:trHeight w:val="270" w:hRule="atLeast"/>
          <w:jc w:val="center"/>
        </w:trPr>
        <w:tc>
          <w:tcPr>
            <w:tcW w:w="782" w:type="pct"/>
            <w:vMerge w:val="continue"/>
            <w:tcBorders>
              <w:top w:val="single" w:color="auto" w:sz="4" w:space="0"/>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p>
        </w:tc>
        <w:tc>
          <w:tcPr>
            <w:tcW w:w="1020" w:type="pct"/>
            <w:vMerge w:val="continue"/>
            <w:tcBorders>
              <w:top w:val="single" w:color="auto" w:sz="4" w:space="0"/>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p>
        </w:tc>
        <w:tc>
          <w:tcPr>
            <w:tcW w:w="850" w:type="pct"/>
            <w:vMerge w:val="continue"/>
            <w:tcBorders>
              <w:top w:val="single" w:color="auto" w:sz="4" w:space="0"/>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p>
        </w:tc>
        <w:tc>
          <w:tcPr>
            <w:tcW w:w="1297" w:type="pct"/>
            <w:tcBorders>
              <w:top w:val="nil"/>
              <w:left w:val="nil"/>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城区</w:t>
            </w:r>
          </w:p>
        </w:tc>
        <w:tc>
          <w:tcPr>
            <w:tcW w:w="1051" w:type="pct"/>
            <w:tcBorders>
              <w:top w:val="nil"/>
              <w:left w:val="nil"/>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乡镇</w:t>
            </w:r>
          </w:p>
        </w:tc>
      </w:tr>
      <w:tr>
        <w:tblPrEx>
          <w:tblCellMar>
            <w:top w:w="0" w:type="dxa"/>
            <w:left w:w="108" w:type="dxa"/>
            <w:bottom w:w="0" w:type="dxa"/>
            <w:right w:w="108" w:type="dxa"/>
          </w:tblCellMar>
        </w:tblPrEx>
        <w:trPr>
          <w:trHeight w:val="510" w:hRule="atLeast"/>
          <w:jc w:val="center"/>
        </w:trPr>
        <w:tc>
          <w:tcPr>
            <w:tcW w:w="782" w:type="pct"/>
            <w:tcBorders>
              <w:top w:val="nil"/>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中国移动</w:t>
            </w:r>
          </w:p>
        </w:tc>
        <w:tc>
          <w:tcPr>
            <w:tcW w:w="1020" w:type="pct"/>
            <w:tcBorders>
              <w:top w:val="nil"/>
              <w:left w:val="single" w:color="auto" w:sz="4" w:space="0"/>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2.6GHz-4.9GHz</w:t>
            </w:r>
          </w:p>
        </w:tc>
        <w:tc>
          <w:tcPr>
            <w:tcW w:w="850" w:type="pct"/>
            <w:tcBorders>
              <w:top w:val="single" w:color="auto" w:sz="4" w:space="0"/>
              <w:left w:val="nil"/>
              <w:bottom w:val="single" w:color="auto" w:sz="4" w:space="0"/>
              <w:right w:val="single" w:color="auto" w:sz="4" w:space="0"/>
            </w:tcBorders>
            <w:vAlign w:val="center"/>
          </w:tcPr>
          <w:p>
            <w:pPr>
              <w:widowControl w:val="0"/>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上行</w:t>
            </w:r>
          </w:p>
        </w:tc>
        <w:tc>
          <w:tcPr>
            <w:tcW w:w="1297" w:type="pct"/>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200-250</w:t>
            </w:r>
          </w:p>
        </w:tc>
        <w:tc>
          <w:tcPr>
            <w:tcW w:w="1051" w:type="pct"/>
            <w:tcBorders>
              <w:top w:val="nil"/>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200-300</w:t>
            </w:r>
          </w:p>
        </w:tc>
      </w:tr>
      <w:tr>
        <w:tblPrEx>
          <w:tblCellMar>
            <w:top w:w="0" w:type="dxa"/>
            <w:left w:w="108" w:type="dxa"/>
            <w:bottom w:w="0" w:type="dxa"/>
            <w:right w:w="108" w:type="dxa"/>
          </w:tblCellMar>
        </w:tblPrEx>
        <w:trPr>
          <w:trHeight w:val="606" w:hRule="atLeast"/>
          <w:jc w:val="center"/>
        </w:trPr>
        <w:tc>
          <w:tcPr>
            <w:tcW w:w="782" w:type="pct"/>
            <w:tcBorders>
              <w:top w:val="nil"/>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中国电信</w:t>
            </w:r>
          </w:p>
        </w:tc>
        <w:tc>
          <w:tcPr>
            <w:tcW w:w="1020" w:type="pct"/>
            <w:tcBorders>
              <w:top w:val="single" w:color="auto" w:sz="4" w:space="0"/>
              <w:left w:val="nil"/>
              <w:bottom w:val="single" w:color="auto" w:sz="4" w:space="0"/>
              <w:right w:val="single" w:color="auto" w:sz="4" w:space="0"/>
            </w:tcBorders>
            <w:vAlign w:val="center"/>
          </w:tcPr>
          <w:p>
            <w:pPr>
              <w:widowControl w:val="0"/>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3.4GHz-3.5GHz</w:t>
            </w:r>
          </w:p>
        </w:tc>
        <w:tc>
          <w:tcPr>
            <w:tcW w:w="850"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上行</w:t>
            </w:r>
          </w:p>
        </w:tc>
        <w:tc>
          <w:tcPr>
            <w:tcW w:w="1297" w:type="pct"/>
            <w:tcBorders>
              <w:top w:val="nil"/>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200-250</w:t>
            </w:r>
          </w:p>
        </w:tc>
        <w:tc>
          <w:tcPr>
            <w:tcW w:w="1051" w:type="pct"/>
            <w:tcBorders>
              <w:top w:val="nil"/>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200-300</w:t>
            </w:r>
          </w:p>
        </w:tc>
      </w:tr>
      <w:tr>
        <w:tblPrEx>
          <w:tblCellMar>
            <w:top w:w="0" w:type="dxa"/>
            <w:left w:w="108" w:type="dxa"/>
            <w:bottom w:w="0" w:type="dxa"/>
            <w:right w:w="108" w:type="dxa"/>
          </w:tblCellMar>
        </w:tblPrEx>
        <w:trPr>
          <w:trHeight w:val="540" w:hRule="atLeast"/>
          <w:jc w:val="center"/>
        </w:trPr>
        <w:tc>
          <w:tcPr>
            <w:tcW w:w="782"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中国联通</w:t>
            </w:r>
          </w:p>
        </w:tc>
        <w:tc>
          <w:tcPr>
            <w:tcW w:w="1020" w:type="pct"/>
            <w:tcBorders>
              <w:top w:val="single" w:color="auto" w:sz="4" w:space="0"/>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3.5GHz-3.6GHz</w:t>
            </w:r>
          </w:p>
        </w:tc>
        <w:tc>
          <w:tcPr>
            <w:tcW w:w="850"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上行</w:t>
            </w:r>
          </w:p>
        </w:tc>
        <w:tc>
          <w:tcPr>
            <w:tcW w:w="1297"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200-250</w:t>
            </w:r>
          </w:p>
        </w:tc>
        <w:tc>
          <w:tcPr>
            <w:tcW w:w="1051"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200-300</w:t>
            </w:r>
          </w:p>
        </w:tc>
      </w:tr>
      <w:tr>
        <w:tblPrEx>
          <w:tblCellMar>
            <w:top w:w="0" w:type="dxa"/>
            <w:left w:w="108" w:type="dxa"/>
            <w:bottom w:w="0" w:type="dxa"/>
            <w:right w:w="108" w:type="dxa"/>
          </w:tblCellMar>
        </w:tblPrEx>
        <w:trPr>
          <w:trHeight w:val="540" w:hRule="atLeast"/>
          <w:jc w:val="center"/>
        </w:trPr>
        <w:tc>
          <w:tcPr>
            <w:tcW w:w="782"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中国广电</w:t>
            </w:r>
          </w:p>
        </w:tc>
        <w:tc>
          <w:tcPr>
            <w:tcW w:w="1020" w:type="pct"/>
            <w:tcBorders>
              <w:top w:val="single" w:color="auto" w:sz="4" w:space="0"/>
              <w:left w:val="nil"/>
              <w:bottom w:val="single" w:color="auto" w:sz="4" w:space="0"/>
              <w:right w:val="single" w:color="auto" w:sz="4" w:space="0"/>
            </w:tcBorders>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4.9GHz-5.0GHz</w:t>
            </w:r>
          </w:p>
        </w:tc>
        <w:tc>
          <w:tcPr>
            <w:tcW w:w="850"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hint="eastAsia" w:ascii="Times New Roman" w:hAnsi="Times New Roman" w:cs="Times New Roman"/>
                <w:color w:val="000000"/>
                <w:sz w:val="21"/>
                <w:szCs w:val="21"/>
              </w:rPr>
              <w:t>上行</w:t>
            </w:r>
          </w:p>
        </w:tc>
        <w:tc>
          <w:tcPr>
            <w:tcW w:w="1297"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200-250</w:t>
            </w:r>
          </w:p>
        </w:tc>
        <w:tc>
          <w:tcPr>
            <w:tcW w:w="1051" w:type="pct"/>
            <w:tcBorders>
              <w:top w:val="single" w:color="auto" w:sz="4" w:space="0"/>
              <w:left w:val="single" w:color="auto" w:sz="4" w:space="0"/>
              <w:bottom w:val="single" w:color="auto" w:sz="4" w:space="0"/>
              <w:right w:val="single" w:color="auto" w:sz="4" w:space="0"/>
            </w:tcBorders>
            <w:noWrap/>
            <w:vAlign w:val="center"/>
          </w:tcPr>
          <w:p>
            <w:pPr>
              <w:snapToGrid w:val="0"/>
              <w:contextualSpacing/>
              <w:jc w:val="both"/>
              <w:rPr>
                <w:rFonts w:ascii="Times New Roman" w:hAnsi="Times New Roman" w:cs="Times New Roman"/>
                <w:color w:val="000000"/>
                <w:sz w:val="21"/>
                <w:szCs w:val="21"/>
              </w:rPr>
            </w:pPr>
            <w:r>
              <w:rPr>
                <w:rFonts w:ascii="Times New Roman" w:hAnsi="Times New Roman" w:cs="Times New Roman"/>
                <w:color w:val="000000"/>
                <w:sz w:val="21"/>
                <w:szCs w:val="21"/>
              </w:rPr>
              <w:t>200-300</w:t>
            </w:r>
          </w:p>
        </w:tc>
      </w:tr>
    </w:tbl>
    <w:p>
      <w:pPr>
        <w:widowControl w:val="0"/>
        <w:snapToGrid w:val="0"/>
        <w:spacing w:line="360" w:lineRule="auto"/>
        <w:ind w:firstLine="480" w:firstLineChars="200"/>
        <w:contextualSpacing/>
        <w:jc w:val="both"/>
        <w:rPr>
          <w:rFonts w:ascii="Times New Roman" w:hAnsi="Times New Roman" w:cs="Times New Roman"/>
          <w:kern w:val="2"/>
        </w:rPr>
      </w:pPr>
    </w:p>
    <w:p>
      <w:pPr>
        <w:pStyle w:val="6"/>
        <w:numPr>
          <w:ilvl w:val="0"/>
          <w:numId w:val="42"/>
        </w:numPr>
      </w:pPr>
      <w:r>
        <w:rPr>
          <w:rFonts w:hint="eastAsia"/>
        </w:rPr>
        <w:t>基站选址原则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）城区新建基站站址优选绿地、广场用地和道路隔离带等城市公共用地区域。</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站址选择必须满足安全要求，确保网络设备运行的安全，不应选择在易燃、易爆的仓库和材料堆积场，以及在生产过程中散发有毒气体、多烟雾、粉尘、有害物质或者容易发生火灾、爆炸危险的工业企业附近设置；</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）拟建地面塔的站址距离电力、通信线路、加油站、加气站、铁路、其他建筑物等危险、重要设施的水平距离宜不小于地面塔高的</w:t>
      </w:r>
      <w:r>
        <w:rPr>
          <w:rFonts w:ascii="Times New Roman" w:hAnsi="Times New Roman" w:cs="Times New Roman"/>
          <w:kern w:val="2"/>
        </w:rPr>
        <w:t>1.3</w:t>
      </w:r>
      <w:r>
        <w:rPr>
          <w:rFonts w:hint="eastAsia" w:ascii="Times New Roman" w:hAnsi="Times New Roman" w:cs="Times New Roman"/>
          <w:kern w:val="2"/>
        </w:rPr>
        <w:t>倍</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w:t>
      </w:r>
      <w:r>
        <w:rPr>
          <w:rFonts w:hint="eastAsia" w:ascii="Times New Roman" w:hAnsi="Times New Roman" w:cs="Times New Roman"/>
          <w:kern w:val="2"/>
        </w:rPr>
        <w:t>）站址不宜在大功率无线电发射台，大功率电视发射台、大功率雷达站和具有电焊设备、</w:t>
      </w:r>
      <w:r>
        <w:rPr>
          <w:rFonts w:ascii="Times New Roman" w:hAnsi="Times New Roman" w:cs="Times New Roman"/>
          <w:kern w:val="2"/>
        </w:rPr>
        <w:t>X</w:t>
      </w:r>
      <w:r>
        <w:rPr>
          <w:rFonts w:hint="eastAsia" w:ascii="Times New Roman" w:hAnsi="Times New Roman" w:cs="Times New Roman"/>
          <w:kern w:val="2"/>
        </w:rPr>
        <w:t>光设备或生产强脉冲干扰的热合机、高频炉的企业或医疗单位附近设置；</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5</w:t>
      </w:r>
      <w:r>
        <w:rPr>
          <w:rFonts w:hint="eastAsia" w:ascii="Times New Roman" w:hAnsi="Times New Roman" w:cs="Times New Roman"/>
          <w:kern w:val="2"/>
        </w:rPr>
        <w:t>）网络基站站址布局尽量符合蜂窝网的结构；</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6</w:t>
      </w:r>
      <w:r>
        <w:rPr>
          <w:rFonts w:hint="eastAsia" w:ascii="Times New Roman" w:hAnsi="Times New Roman" w:cs="Times New Roman"/>
          <w:kern w:val="2"/>
        </w:rPr>
        <w:t>）城区站址选择应考虑无线小区话务量分布，站址应设置在需覆盖区域的中心，以保证话务较均衡地分配到基站的各个扇区；</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7</w:t>
      </w:r>
      <w:r>
        <w:rPr>
          <w:rFonts w:hint="eastAsia" w:ascii="Times New Roman" w:hAnsi="Times New Roman" w:cs="Times New Roman"/>
          <w:kern w:val="2"/>
        </w:rPr>
        <w:t>）天线高度适宜，与同类站点天线高度相近，天线方向有足够的视野，无大的障碍物阻挡。架设天线有足够的位置，如附近有河流，天线方向应与河流方向垂直；</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8</w:t>
      </w:r>
      <w:r>
        <w:rPr>
          <w:rFonts w:hint="eastAsia" w:ascii="Times New Roman" w:hAnsi="Times New Roman" w:cs="Times New Roman"/>
          <w:kern w:val="2"/>
        </w:rPr>
        <w:t>）对于密集市区，高层建筑较多，应特别注意所选点天线方向有足够视野，无大的阻碍物。同时，还可以充分利用周围建筑物将信号局限在目标区域，避免越区覆盖；</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9</w:t>
      </w:r>
      <w:r>
        <w:rPr>
          <w:rFonts w:hint="eastAsia" w:ascii="Times New Roman" w:hAnsi="Times New Roman" w:cs="Times New Roman"/>
          <w:kern w:val="2"/>
        </w:rPr>
        <w:t>）基站高度控制，避免出现超高站（站高超过</w:t>
      </w:r>
      <w:r>
        <w:rPr>
          <w:rFonts w:ascii="Times New Roman" w:hAnsi="Times New Roman" w:cs="Times New Roman"/>
          <w:kern w:val="2"/>
        </w:rPr>
        <w:t>50</w:t>
      </w:r>
      <w:r>
        <w:rPr>
          <w:rFonts w:hint="eastAsia" w:ascii="Times New Roman" w:hAnsi="Times New Roman" w:cs="Times New Roman"/>
          <w:kern w:val="2"/>
        </w:rPr>
        <w:t>米），避免出现超低站（街道站、隧道边站以外低于</w:t>
      </w:r>
      <w:r>
        <w:rPr>
          <w:rFonts w:ascii="Times New Roman" w:hAnsi="Times New Roman" w:cs="Times New Roman"/>
          <w:kern w:val="2"/>
        </w:rPr>
        <w:t>15</w:t>
      </w:r>
      <w:r>
        <w:rPr>
          <w:rFonts w:hint="eastAsia" w:ascii="Times New Roman" w:hAnsi="Times New Roman" w:cs="Times New Roman"/>
          <w:kern w:val="2"/>
        </w:rPr>
        <w:t>米的站点）；</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10</w:t>
      </w:r>
      <w:r>
        <w:rPr>
          <w:rFonts w:hint="eastAsia" w:ascii="Times New Roman" w:hAnsi="Times New Roman" w:cs="Times New Roman"/>
          <w:kern w:val="2"/>
        </w:rPr>
        <w:t>）宏基站优先选址公共建筑天面，政府和国有企事业单位的办公建筑必须保证对基站建设开放。</w:t>
      </w:r>
    </w:p>
    <w:p>
      <w:pPr>
        <w:pStyle w:val="5"/>
      </w:pPr>
      <w:bookmarkStart w:id="185" w:name="_Toc56092783"/>
      <w:r>
        <w:rPr>
          <w:rFonts w:hint="eastAsia"/>
        </w:rPr>
        <w:t>室分规划</w:t>
      </w:r>
      <w:bookmarkEnd w:id="185"/>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室分建设为宏站建设的补充，主要应用于大型建筑楼宇电梯、车库、大型写字楼等宏基站覆盖盲区，需求量逐年递增。然而，</w:t>
      </w:r>
      <w:r>
        <w:rPr>
          <w:rFonts w:ascii="Times New Roman" w:hAnsi="Times New Roman" w:cs="Times New Roman"/>
          <w:kern w:val="2"/>
        </w:rPr>
        <w:t>“</w:t>
      </w:r>
      <w:r>
        <w:rPr>
          <w:rFonts w:hint="eastAsia" w:ascii="Times New Roman" w:hAnsi="Times New Roman" w:cs="Times New Roman"/>
          <w:kern w:val="2"/>
        </w:rPr>
        <w:t>进场难、进场贵</w:t>
      </w:r>
      <w:r>
        <w:rPr>
          <w:rFonts w:ascii="Times New Roman" w:hAnsi="Times New Roman" w:cs="Times New Roman"/>
          <w:kern w:val="2"/>
        </w:rPr>
        <w:t>”</w:t>
      </w:r>
      <w:r>
        <w:rPr>
          <w:rFonts w:hint="eastAsia" w:ascii="Times New Roman" w:hAnsi="Times New Roman" w:cs="Times New Roman"/>
          <w:kern w:val="2"/>
        </w:rPr>
        <w:t>问题以及长期以来的</w:t>
      </w:r>
      <w:r>
        <w:rPr>
          <w:rFonts w:ascii="Times New Roman" w:hAnsi="Times New Roman" w:cs="Times New Roman"/>
          <w:kern w:val="2"/>
        </w:rPr>
        <w:t>“</w:t>
      </w:r>
      <w:r>
        <w:rPr>
          <w:rFonts w:hint="eastAsia" w:ascii="Times New Roman" w:hAnsi="Times New Roman" w:cs="Times New Roman"/>
          <w:kern w:val="2"/>
        </w:rPr>
        <w:t>潜规则</w:t>
      </w:r>
      <w:r>
        <w:rPr>
          <w:rFonts w:ascii="Times New Roman" w:hAnsi="Times New Roman" w:cs="Times New Roman"/>
          <w:kern w:val="2"/>
        </w:rPr>
        <w:t>”</w:t>
      </w:r>
      <w:r>
        <w:rPr>
          <w:rFonts w:hint="eastAsia" w:ascii="Times New Roman" w:hAnsi="Times New Roman" w:cs="Times New Roman"/>
          <w:kern w:val="2"/>
        </w:rPr>
        <w:t>令建设市场混乱无序，困难重重。面对此建设难题，首先，室分建设市场要打开共建共享新局面，避免同一楼宇多家运营商重复申请建设，从源头扭转以往</w:t>
      </w:r>
      <w:r>
        <w:rPr>
          <w:rFonts w:ascii="Times New Roman" w:hAnsi="Times New Roman" w:cs="Times New Roman"/>
          <w:kern w:val="2"/>
        </w:rPr>
        <w:t>“</w:t>
      </w:r>
      <w:r>
        <w:rPr>
          <w:rFonts w:hint="eastAsia" w:ascii="Times New Roman" w:hAnsi="Times New Roman" w:cs="Times New Roman"/>
          <w:kern w:val="2"/>
        </w:rPr>
        <w:t>各自为战、竞价入场</w:t>
      </w:r>
      <w:r>
        <w:rPr>
          <w:rFonts w:ascii="Times New Roman" w:hAnsi="Times New Roman" w:cs="Times New Roman"/>
          <w:kern w:val="2"/>
        </w:rPr>
        <w:t>”</w:t>
      </w:r>
      <w:r>
        <w:rPr>
          <w:rFonts w:hint="eastAsia" w:ascii="Times New Roman" w:hAnsi="Times New Roman" w:cs="Times New Roman"/>
          <w:kern w:val="2"/>
        </w:rPr>
        <w:t>的无序状态，规范通信配套建设市场，提高室分建设集约化水平。其次，政府部门需统筹协调，禁止所在场所的所有者或者管理者漫天要价，维护通信建设市场的有序发展。电信设施属于战略性公共基础设施，受法律保护，任何单位或者个人不得阻碍和破坏依法进行的电信设施建设，不得危害电信设施安全，违者按照法律法规相关条例处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期内不满足通信运营商各自室内分布信号覆盖指标的场景纳入规划建设范围。各新建场景由铁塔公司进行统一规划建设。三家基础电信企业和广电原则上不再单独新建室内分布系统。铁塔公司要增强承建能力，合理平衡、有效满足三家基础电信企业和广电的建设需求。室分建设时，应统筹各方需求，优先改造利用存量资源，能够共享的原则上不再新建。</w:t>
      </w:r>
    </w:p>
    <w:p>
      <w:pPr>
        <w:pStyle w:val="6"/>
      </w:pPr>
      <w:r>
        <w:rPr>
          <w:rFonts w:hint="eastAsia"/>
        </w:rPr>
        <w:t>覆盖场景</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梁平室分覆盖场景主要分为住宅楼宇、商住楼宇和非住宅类。室内覆盖系统的设置，主要考虑在建筑内部、地下空间及重要商务楼宇等，一方面对覆盖不足的区域进行加强，同时分流高密度区域的话务。以下场景建议建设室内覆盖系统。</w:t>
      </w:r>
    </w:p>
    <w:p>
      <w:pPr>
        <w:widowControl w:val="0"/>
        <w:spacing w:line="360" w:lineRule="auto"/>
        <w:ind w:firstLine="480" w:firstLineChars="200"/>
        <w:jc w:val="both"/>
        <w:rPr>
          <w:rFonts w:ascii="Times New Roman" w:hAnsi="Times New Roman" w:cs="Times New Roman"/>
          <w:kern w:val="2"/>
        </w:rPr>
      </w:pPr>
    </w:p>
    <w:p>
      <w:pPr>
        <w:widowControl w:val="0"/>
        <w:spacing w:line="360" w:lineRule="auto"/>
        <w:ind w:firstLine="480" w:firstLineChars="200"/>
        <w:jc w:val="both"/>
        <w:rPr>
          <w:rFonts w:ascii="Times New Roman" w:hAnsi="Times New Roman" w:cs="Times New Roman"/>
          <w:kern w:val="2"/>
        </w:rPr>
      </w:pPr>
    </w:p>
    <w:p>
      <w:pPr>
        <w:pStyle w:val="8"/>
        <w:spacing w:before="48" w:after="48"/>
      </w:pPr>
      <w:r>
        <w:rPr>
          <w:rFonts w:hint="eastAsia"/>
        </w:rPr>
        <w:t>表</w:t>
      </w:r>
      <w:r>
        <w:t xml:space="preserve">6-4 </w:t>
      </w:r>
      <w:r>
        <w:rPr>
          <w:rFonts w:hint="eastAsia"/>
        </w:rPr>
        <w:t>室分覆盖区域</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90"/>
        <w:gridCol w:w="3980"/>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17" w:type="pct"/>
            <w:gridSpan w:val="2"/>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梁平片区场景</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覆盖区域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17" w:type="pct"/>
            <w:gridSpan w:val="2"/>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住宅楼宇</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建议覆盖电梯、走廊、地下车库等区域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33" w:type="pct"/>
            <w:vMerge w:val="restar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商住楼宇</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住宅区域</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建议覆盖电梯、走廊、地下车库等区域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33" w:type="pct"/>
            <w:vMerge w:val="continue"/>
            <w:vAlign w:val="center"/>
          </w:tcPr>
          <w:p>
            <w:pPr>
              <w:widowControl w:val="0"/>
              <w:snapToGrid w:val="0"/>
              <w:contextualSpacing/>
              <w:jc w:val="both"/>
              <w:rPr>
                <w:rFonts w:ascii="Times New Roman" w:hAnsi="Times New Roman" w:cs="Times New Roman"/>
                <w:kern w:val="2"/>
                <w:sz w:val="21"/>
                <w:szCs w:val="21"/>
              </w:rPr>
            </w:pP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非住宅区域</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按需覆盖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33" w:type="pct"/>
            <w:vMerge w:val="restar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b/>
                <w:bCs/>
                <w:kern w:val="2"/>
                <w:sz w:val="21"/>
                <w:szCs w:val="21"/>
              </w:rPr>
              <w:t>非住宅类</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商业</w:t>
            </w:r>
            <w:r>
              <w:rPr>
                <w:rFonts w:ascii="Times New Roman" w:hAnsi="Times New Roman" w:cs="Times New Roman"/>
                <w:kern w:val="2"/>
                <w:sz w:val="21"/>
                <w:szCs w:val="21"/>
              </w:rPr>
              <w:t>/</w:t>
            </w:r>
            <w:r>
              <w:rPr>
                <w:rFonts w:hint="eastAsia" w:ascii="Times New Roman" w:hAnsi="Times New Roman" w:cs="Times New Roman"/>
                <w:kern w:val="2"/>
                <w:sz w:val="21"/>
                <w:szCs w:val="21"/>
              </w:rPr>
              <w:t>公共服务楼宇</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建筑面积大于</w:t>
            </w:r>
            <w:r>
              <w:rPr>
                <w:rFonts w:ascii="Times New Roman" w:hAnsi="Times New Roman" w:cs="Times New Roman"/>
                <w:kern w:val="2"/>
                <w:sz w:val="21"/>
                <w:szCs w:val="21"/>
              </w:rPr>
              <w:t>2000</w:t>
            </w:r>
            <w:r>
              <w:rPr>
                <w:rFonts w:hint="eastAsia" w:ascii="Times New Roman" w:hAnsi="Times New Roman" w:cs="Times New Roman"/>
                <w:kern w:val="2"/>
                <w:sz w:val="21"/>
                <w:szCs w:val="21"/>
              </w:rPr>
              <w:t>平方米的封闭建筑建议全覆盖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33" w:type="pct"/>
            <w:vMerge w:val="continue"/>
            <w:vAlign w:val="center"/>
          </w:tcPr>
          <w:p>
            <w:pPr>
              <w:widowControl w:val="0"/>
              <w:snapToGrid w:val="0"/>
              <w:contextualSpacing/>
              <w:jc w:val="both"/>
              <w:rPr>
                <w:rFonts w:ascii="Times New Roman" w:hAnsi="Times New Roman" w:cs="Times New Roman"/>
                <w:kern w:val="2"/>
                <w:sz w:val="21"/>
                <w:szCs w:val="21"/>
              </w:rPr>
            </w:pP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半开放式广场</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可结合室外宏站</w:t>
            </w:r>
            <w:r>
              <w:rPr>
                <w:rFonts w:ascii="Times New Roman" w:hAnsi="Times New Roman" w:cs="Times New Roman"/>
                <w:kern w:val="2"/>
                <w:sz w:val="21"/>
                <w:szCs w:val="21"/>
              </w:rPr>
              <w:t>+</w:t>
            </w:r>
            <w:r>
              <w:rPr>
                <w:rFonts w:hint="eastAsia" w:ascii="Times New Roman" w:hAnsi="Times New Roman" w:cs="Times New Roman"/>
                <w:kern w:val="2"/>
                <w:sz w:val="21"/>
                <w:szCs w:val="21"/>
              </w:rPr>
              <w:t>微站实现区域覆盖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33" w:type="pct"/>
            <w:vMerge w:val="continue"/>
            <w:vAlign w:val="center"/>
          </w:tcPr>
          <w:p>
            <w:pPr>
              <w:widowControl w:val="0"/>
              <w:snapToGrid w:val="0"/>
              <w:contextualSpacing/>
              <w:jc w:val="both"/>
              <w:rPr>
                <w:rFonts w:ascii="Times New Roman" w:hAnsi="Times New Roman" w:cs="Times New Roman"/>
                <w:kern w:val="2"/>
                <w:sz w:val="21"/>
                <w:szCs w:val="21"/>
              </w:rPr>
            </w:pP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交通枢纽</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建议全覆盖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33" w:type="pct"/>
            <w:vMerge w:val="continue"/>
            <w:vAlign w:val="center"/>
          </w:tcPr>
          <w:p>
            <w:pPr>
              <w:widowControl w:val="0"/>
              <w:snapToGrid w:val="0"/>
              <w:contextualSpacing/>
              <w:jc w:val="both"/>
              <w:rPr>
                <w:rFonts w:ascii="Times New Roman" w:hAnsi="Times New Roman" w:cs="Times New Roman"/>
                <w:kern w:val="2"/>
                <w:sz w:val="21"/>
                <w:szCs w:val="21"/>
              </w:rPr>
            </w:pP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学校、体育馆等</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建议全覆盖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33" w:type="pct"/>
            <w:vMerge w:val="continue"/>
            <w:vAlign w:val="center"/>
          </w:tcPr>
          <w:p>
            <w:pPr>
              <w:widowControl w:val="0"/>
              <w:snapToGrid w:val="0"/>
              <w:contextualSpacing/>
              <w:jc w:val="both"/>
              <w:rPr>
                <w:rFonts w:ascii="Times New Roman" w:hAnsi="Times New Roman" w:cs="Times New Roman"/>
                <w:kern w:val="2"/>
                <w:sz w:val="21"/>
                <w:szCs w:val="21"/>
              </w:rPr>
            </w:pP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未来的综合管廊</w:t>
            </w:r>
          </w:p>
        </w:tc>
        <w:tc>
          <w:tcPr>
            <w:tcW w:w="2083" w:type="pct"/>
            <w:tcMar>
              <w:top w:w="15" w:type="dxa"/>
              <w:left w:w="108" w:type="dxa"/>
              <w:bottom w:w="0" w:type="dxa"/>
              <w:right w:w="108" w:type="dxa"/>
            </w:tcMar>
            <w:vAlign w:val="center"/>
          </w:tcPr>
          <w:p>
            <w:pPr>
              <w:widowControl w:val="0"/>
              <w:snapToGrid w:val="0"/>
              <w:contextualSpacing/>
              <w:jc w:val="both"/>
              <w:rPr>
                <w:rFonts w:ascii="Times New Roman" w:hAnsi="Times New Roman" w:cs="Times New Roman"/>
                <w:kern w:val="2"/>
                <w:sz w:val="21"/>
                <w:szCs w:val="21"/>
              </w:rPr>
            </w:pPr>
            <w:r>
              <w:rPr>
                <w:rFonts w:hint="eastAsia" w:ascii="Times New Roman" w:hAnsi="Times New Roman" w:cs="Times New Roman"/>
                <w:kern w:val="2"/>
                <w:sz w:val="21"/>
                <w:szCs w:val="21"/>
              </w:rPr>
              <w:t>按需覆盖</w:t>
            </w:r>
          </w:p>
        </w:tc>
      </w:tr>
    </w:tbl>
    <w:p>
      <w:pPr>
        <w:widowControl w:val="0"/>
        <w:snapToGrid w:val="0"/>
        <w:spacing w:line="360" w:lineRule="auto"/>
        <w:contextualSpacing/>
        <w:jc w:val="both"/>
        <w:rPr>
          <w:rFonts w:ascii="Times New Roman" w:hAnsi="Times New Roman" w:cs="Times New Roman"/>
          <w:kern w:val="2"/>
        </w:rPr>
      </w:pPr>
    </w:p>
    <w:p>
      <w:pPr>
        <w:pStyle w:val="6"/>
      </w:pPr>
      <w:r>
        <w:rPr>
          <w:rFonts w:hint="eastAsia"/>
        </w:rPr>
        <w:t>覆盖方式</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目前室内覆盖可采用室内分布系统、分布式微基站及微微蜂窝等方式。</w:t>
      </w:r>
      <w:r>
        <w:rPr>
          <w:rFonts w:ascii="Times New Roman" w:hAnsi="Times New Roman" w:cs="Times New Roman"/>
          <w:kern w:val="2"/>
        </w:rPr>
        <w:t>2G</w:t>
      </w:r>
      <w:r>
        <w:rPr>
          <w:rFonts w:hint="eastAsia" w:ascii="Times New Roman" w:hAnsi="Times New Roman" w:cs="Times New Roman"/>
          <w:kern w:val="2"/>
        </w:rPr>
        <w:t>及</w:t>
      </w:r>
      <w:r>
        <w:rPr>
          <w:rFonts w:ascii="Times New Roman" w:hAnsi="Times New Roman" w:cs="Times New Roman"/>
          <w:kern w:val="2"/>
        </w:rPr>
        <w:t>3G</w:t>
      </w:r>
      <w:r>
        <w:rPr>
          <w:rFonts w:hint="eastAsia" w:ascii="Times New Roman" w:hAnsi="Times New Roman" w:cs="Times New Roman"/>
          <w:kern w:val="2"/>
        </w:rPr>
        <w:t>网络多采用传统</w:t>
      </w:r>
      <w:r>
        <w:rPr>
          <w:rFonts w:ascii="Times New Roman" w:hAnsi="Times New Roman" w:cs="Times New Roman"/>
          <w:kern w:val="2"/>
        </w:rPr>
        <w:t>DAS</w:t>
      </w:r>
      <w:r>
        <w:rPr>
          <w:rFonts w:hint="eastAsia" w:ascii="Times New Roman" w:hAnsi="Times New Roman" w:cs="Times New Roman"/>
          <w:kern w:val="2"/>
        </w:rPr>
        <w:t>方式实现室内覆盖，考虑到</w:t>
      </w:r>
      <w:r>
        <w:rPr>
          <w:rFonts w:ascii="Times New Roman" w:hAnsi="Times New Roman" w:cs="Times New Roman"/>
          <w:kern w:val="2"/>
        </w:rPr>
        <w:t>4G</w:t>
      </w:r>
      <w:r>
        <w:rPr>
          <w:rFonts w:hint="eastAsia" w:ascii="Times New Roman" w:hAnsi="Times New Roman" w:cs="Times New Roman"/>
          <w:kern w:val="2"/>
        </w:rPr>
        <w:t>深度覆盖及未来</w:t>
      </w:r>
      <w:r>
        <w:rPr>
          <w:rFonts w:ascii="Times New Roman" w:hAnsi="Times New Roman" w:cs="Times New Roman"/>
          <w:kern w:val="2"/>
        </w:rPr>
        <w:t>5G</w:t>
      </w:r>
      <w:r>
        <w:rPr>
          <w:rFonts w:hint="eastAsia" w:ascii="Times New Roman" w:hAnsi="Times New Roman" w:cs="Times New Roman"/>
          <w:kern w:val="2"/>
        </w:rPr>
        <w:t>覆盖的要求，室内场景覆盖可采用光纤分布、微站分布及无源分布系统等方式实现多运营商、多系统共建共享。在与其他设施方案衔接时，要明确预留室内分布系统建设所需的空间资源，保证后期建设时，室内分布系统馈线、光缆、天线和设备等都具备安装条件。</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在用户较多，需要支持</w:t>
      </w:r>
      <w:r>
        <w:rPr>
          <w:rFonts w:ascii="Times New Roman" w:hAnsi="Times New Roman" w:cs="Times New Roman"/>
          <w:kern w:val="2"/>
        </w:rPr>
        <w:t>LTEMIMO</w:t>
      </w:r>
      <w:r>
        <w:rPr>
          <w:rFonts w:hint="eastAsia" w:ascii="Times New Roman" w:hAnsi="Times New Roman" w:cs="Times New Roman"/>
          <w:kern w:val="2"/>
        </w:rPr>
        <w:t>、定位、导航等特殊业务的室内场景，可采用分布式微基站方式建设室内覆盖系统。分布式微基站是一种新型的室内覆盖解决方案，将传统的</w:t>
      </w:r>
      <w:r>
        <w:rPr>
          <w:rFonts w:ascii="Times New Roman" w:hAnsi="Times New Roman" w:cs="Times New Roman"/>
          <w:kern w:val="2"/>
        </w:rPr>
        <w:t>BBU+RRU</w:t>
      </w:r>
      <w:r>
        <w:rPr>
          <w:rFonts w:hint="eastAsia" w:ascii="Times New Roman" w:hAnsi="Times New Roman" w:cs="Times New Roman"/>
          <w:kern w:val="2"/>
        </w:rPr>
        <w:t>变为</w:t>
      </w:r>
      <w:r>
        <w:rPr>
          <w:rFonts w:ascii="Times New Roman" w:hAnsi="Times New Roman" w:cs="Times New Roman"/>
          <w:kern w:val="2"/>
        </w:rPr>
        <w:t>BBU+</w:t>
      </w:r>
      <w:r>
        <w:rPr>
          <w:rFonts w:hint="eastAsia" w:ascii="Times New Roman" w:hAnsi="Times New Roman" w:cs="Times New Roman"/>
          <w:kern w:val="2"/>
        </w:rPr>
        <w:t>扩展单元</w:t>
      </w:r>
      <w:r>
        <w:rPr>
          <w:rFonts w:ascii="Times New Roman" w:hAnsi="Times New Roman" w:cs="Times New Roman"/>
          <w:kern w:val="2"/>
        </w:rPr>
        <w:t>+</w:t>
      </w:r>
      <w:r>
        <w:rPr>
          <w:rFonts w:hint="eastAsia" w:ascii="Times New Roman" w:hAnsi="Times New Roman" w:cs="Times New Roman"/>
          <w:kern w:val="2"/>
        </w:rPr>
        <w:t>远端射频单元模式，通过将</w:t>
      </w:r>
      <w:r>
        <w:rPr>
          <w:rFonts w:ascii="Times New Roman" w:hAnsi="Times New Roman" w:cs="Times New Roman"/>
          <w:kern w:val="2"/>
        </w:rPr>
        <w:t>RRU</w:t>
      </w:r>
      <w:r>
        <w:rPr>
          <w:rFonts w:hint="eastAsia" w:ascii="Times New Roman" w:hAnsi="Times New Roman" w:cs="Times New Roman"/>
          <w:kern w:val="2"/>
        </w:rPr>
        <w:t>微型化、室内化来直接替代原分布系统中的天线对目标区域进行覆盖。</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5G</w:t>
      </w:r>
      <w:r>
        <w:rPr>
          <w:rFonts w:hint="eastAsia" w:ascii="Times New Roman" w:hAnsi="Times New Roman" w:cs="Times New Roman"/>
          <w:kern w:val="2"/>
        </w:rPr>
        <w:t>室内覆盖多采用新型室分</w:t>
      </w:r>
      <w:r>
        <w:rPr>
          <w:rFonts w:ascii="Times New Roman" w:hAnsi="Times New Roman" w:cs="Times New Roman"/>
          <w:kern w:val="2"/>
        </w:rPr>
        <w:t>pRRU</w:t>
      </w:r>
      <w:r>
        <w:rPr>
          <w:rFonts w:hint="eastAsia" w:ascii="Times New Roman" w:hAnsi="Times New Roman" w:cs="Times New Roman"/>
          <w:kern w:val="2"/>
        </w:rPr>
        <w:t>方式覆盖，在隧道场景可采用泄漏电缆方式覆盖。在</w:t>
      </w:r>
      <w:r>
        <w:rPr>
          <w:rFonts w:ascii="Times New Roman" w:hAnsi="Times New Roman" w:cs="Times New Roman"/>
          <w:kern w:val="2"/>
        </w:rPr>
        <w:t>3.5GHz</w:t>
      </w:r>
      <w:r>
        <w:rPr>
          <w:rFonts w:hint="eastAsia" w:ascii="Times New Roman" w:hAnsi="Times New Roman" w:cs="Times New Roman"/>
          <w:kern w:val="2"/>
        </w:rPr>
        <w:t>频段下，单</w:t>
      </w:r>
      <w:r>
        <w:rPr>
          <w:rFonts w:ascii="Times New Roman" w:hAnsi="Times New Roman" w:cs="Times New Roman"/>
          <w:kern w:val="2"/>
        </w:rPr>
        <w:t>pRRU</w:t>
      </w:r>
      <w:r>
        <w:rPr>
          <w:rFonts w:hint="eastAsia" w:ascii="Times New Roman" w:hAnsi="Times New Roman" w:cs="Times New Roman"/>
          <w:kern w:val="2"/>
        </w:rPr>
        <w:t>覆盖约</w:t>
      </w:r>
      <w:r>
        <w:rPr>
          <w:rFonts w:ascii="Times New Roman" w:hAnsi="Times New Roman" w:cs="Times New Roman"/>
          <w:kern w:val="2"/>
        </w:rPr>
        <w:t>100~300</w:t>
      </w:r>
      <w:r>
        <w:rPr>
          <w:rFonts w:hint="eastAsia" w:ascii="Times New Roman" w:hAnsi="Times New Roman" w:cs="Times New Roman"/>
          <w:kern w:val="2"/>
        </w:rPr>
        <w:t>平方米，下沉道路</w:t>
      </w:r>
      <w:r>
        <w:rPr>
          <w:rFonts w:ascii="Times New Roman" w:hAnsi="Times New Roman" w:cs="Times New Roman"/>
          <w:kern w:val="2"/>
        </w:rPr>
        <w:t>/</w:t>
      </w:r>
      <w:r>
        <w:rPr>
          <w:rFonts w:hint="eastAsia" w:ascii="Times New Roman" w:hAnsi="Times New Roman" w:cs="Times New Roman"/>
          <w:kern w:val="2"/>
        </w:rPr>
        <w:t>隧道场景单</w:t>
      </w:r>
      <w:r>
        <w:rPr>
          <w:rFonts w:ascii="Times New Roman" w:hAnsi="Times New Roman" w:cs="Times New Roman"/>
          <w:kern w:val="2"/>
        </w:rPr>
        <w:t>pRRU</w:t>
      </w:r>
      <w:r>
        <w:rPr>
          <w:rFonts w:hint="eastAsia" w:ascii="Times New Roman" w:hAnsi="Times New Roman" w:cs="Times New Roman"/>
          <w:kern w:val="2"/>
        </w:rPr>
        <w:t>覆盖距离约</w:t>
      </w:r>
      <w:r>
        <w:rPr>
          <w:rFonts w:ascii="Times New Roman" w:hAnsi="Times New Roman" w:cs="Times New Roman"/>
          <w:kern w:val="2"/>
        </w:rPr>
        <w:t>50~80</w:t>
      </w:r>
      <w:r>
        <w:rPr>
          <w:rFonts w:hint="eastAsia" w:ascii="Times New Roman" w:hAnsi="Times New Roman" w:cs="Times New Roman"/>
          <w:kern w:val="2"/>
        </w:rPr>
        <w:t>米。</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pict>
          <v:shape id="_x0000_i1033" o:spt="75" type="#_x0000_t75" style="height:132.75pt;width:417pt;" filled="f" o:preferrelative="t" stroked="f" coordsize="21600,21600">
            <v:path/>
            <v:fill on="f" focussize="0,0"/>
            <v:stroke on="f" joinstyle="miter"/>
            <v:imagedata r:id="rId23" o:title=""/>
            <o:lock v:ext="edit" aspectratio="t"/>
            <w10:wrap type="none"/>
            <w10:anchorlock/>
          </v:shape>
        </w:pict>
      </w:r>
    </w:p>
    <w:p>
      <w:pPr>
        <w:pStyle w:val="8"/>
        <w:spacing w:before="48" w:after="48"/>
      </w:pPr>
      <w:r>
        <w:rPr>
          <w:rFonts w:hint="eastAsia"/>
        </w:rPr>
        <w:t>图</w:t>
      </w:r>
      <w:r>
        <w:t xml:space="preserve">6-4 </w:t>
      </w:r>
      <w:r>
        <w:rPr>
          <w:rFonts w:hint="eastAsia"/>
        </w:rPr>
        <w:t>分布式微基站覆盖方式</w:t>
      </w:r>
    </w:p>
    <w:p/>
    <w:p>
      <w:pPr>
        <w:pStyle w:val="6"/>
      </w:pPr>
      <w:r>
        <w:rPr>
          <w:rFonts w:hint="eastAsia"/>
        </w:rPr>
        <w:t>干扰解决</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各运营商对网络容量、覆盖方式、使用频谱等环节存在不同的需求，涉及到的系统较多，共建时需特别关注多系统间干扰问题。</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系统间干扰主要包括杂散干扰、阻塞干扰、互调干扰。系统间的最终干扰隔离度取杂散干扰、阻</w:t>
      </w:r>
    </w:p>
    <w:p>
      <w:pPr>
        <w:pStyle w:val="8"/>
        <w:spacing w:before="48" w:after="48"/>
      </w:pPr>
      <w:r>
        <w:rPr>
          <w:rFonts w:hint="eastAsia"/>
        </w:rPr>
        <w:t>表</w:t>
      </w:r>
      <w:r>
        <w:t xml:space="preserve">6-5 </w:t>
      </w:r>
      <w:r>
        <w:rPr>
          <w:rFonts w:hint="eastAsia"/>
        </w:rPr>
        <w:t>各系统隔离度指标要求</w:t>
      </w:r>
    </w:p>
    <w:tbl>
      <w:tblPr>
        <w:tblStyle w:val="30"/>
        <w:tblW w:w="5000" w:type="pct"/>
        <w:tblInd w:w="-10" w:type="dxa"/>
        <w:tblLayout w:type="autofit"/>
        <w:tblCellMar>
          <w:top w:w="0" w:type="dxa"/>
          <w:left w:w="108" w:type="dxa"/>
          <w:bottom w:w="0" w:type="dxa"/>
          <w:right w:w="108" w:type="dxa"/>
        </w:tblCellMar>
      </w:tblPr>
      <w:tblGrid>
        <w:gridCol w:w="1201"/>
        <w:gridCol w:w="947"/>
        <w:gridCol w:w="947"/>
        <w:gridCol w:w="1030"/>
        <w:gridCol w:w="1006"/>
        <w:gridCol w:w="1006"/>
        <w:gridCol w:w="1190"/>
        <w:gridCol w:w="1030"/>
        <w:gridCol w:w="1201"/>
      </w:tblGrid>
      <w:tr>
        <w:tblPrEx>
          <w:tblCellMar>
            <w:top w:w="0" w:type="dxa"/>
            <w:left w:w="108" w:type="dxa"/>
            <w:bottom w:w="0" w:type="dxa"/>
            <w:right w:w="108" w:type="dxa"/>
          </w:tblCellMar>
        </w:tblPrEx>
        <w:trPr>
          <w:trHeight w:val="288" w:hRule="atLeast"/>
          <w:tblHeader/>
        </w:trPr>
        <w:tc>
          <w:tcPr>
            <w:tcW w:w="960" w:type="dxa"/>
            <w:vMerge w:val="restart"/>
            <w:tcBorders>
              <w:top w:val="single" w:color="auto" w:sz="8" w:space="0"/>
              <w:left w:val="single" w:color="auto" w:sz="8" w:space="0"/>
              <w:bottom w:val="single" w:color="000000" w:sz="8" w:space="0"/>
              <w:right w:val="single" w:color="auto" w:sz="8" w:space="0"/>
              <w:tl2br w:val="single" w:color="auto" w:sz="4" w:space="0"/>
            </w:tcBorders>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vertAlign w:val="superscript"/>
              </w:rPr>
              <w:t>干扰系统</w:t>
            </w:r>
            <w:r>
              <w:rPr>
                <w:rFonts w:ascii="Times New Roman" w:hAnsi="Times New Roman" w:cs="Arial Unicode MS"/>
                <w:sz w:val="21"/>
                <w:szCs w:val="21"/>
              </w:rPr>
              <w:t xml:space="preserve">     </w:t>
            </w:r>
            <w:r>
              <w:rPr>
                <w:rFonts w:hint="eastAsia" w:ascii="Times New Roman" w:hAnsi="Times New Roman" w:cs="Arial Unicode MS"/>
                <w:sz w:val="21"/>
                <w:szCs w:val="21"/>
                <w:vertAlign w:val="subscript"/>
              </w:rPr>
              <w:t>被干扰系统</w:t>
            </w:r>
          </w:p>
        </w:tc>
        <w:tc>
          <w:tcPr>
            <w:tcW w:w="960" w:type="dxa"/>
            <w:vMerge w:val="restart"/>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CDMA</w:t>
            </w:r>
          </w:p>
        </w:tc>
        <w:tc>
          <w:tcPr>
            <w:tcW w:w="960" w:type="dxa"/>
            <w:vMerge w:val="restart"/>
            <w:tcBorders>
              <w:top w:val="single" w:color="auto" w:sz="8" w:space="0"/>
              <w:left w:val="single" w:color="auto" w:sz="8" w:space="0"/>
              <w:bottom w:val="single" w:color="000000"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GSM</w:t>
            </w:r>
          </w:p>
        </w:tc>
        <w:tc>
          <w:tcPr>
            <w:tcW w:w="960" w:type="dxa"/>
            <w:vMerge w:val="restart"/>
            <w:tcBorders>
              <w:top w:val="single" w:color="auto" w:sz="8" w:space="0"/>
              <w:left w:val="single" w:color="auto" w:sz="8" w:space="0"/>
              <w:bottom w:val="single" w:color="000000"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WCDMA</w:t>
            </w:r>
          </w:p>
        </w:tc>
        <w:tc>
          <w:tcPr>
            <w:tcW w:w="960" w:type="dxa"/>
            <w:vMerge w:val="restart"/>
            <w:tcBorders>
              <w:top w:val="single" w:color="auto" w:sz="8" w:space="0"/>
              <w:left w:val="single" w:color="auto" w:sz="8" w:space="0"/>
              <w:bottom w:val="single" w:color="000000"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LTE2100</w:t>
            </w:r>
          </w:p>
        </w:tc>
        <w:tc>
          <w:tcPr>
            <w:tcW w:w="960" w:type="dxa"/>
            <w:vMerge w:val="restart"/>
            <w:tcBorders>
              <w:top w:val="single" w:color="auto" w:sz="8" w:space="0"/>
              <w:left w:val="single" w:color="auto" w:sz="8" w:space="0"/>
              <w:bottom w:val="single" w:color="000000"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LTE1800</w:t>
            </w:r>
          </w:p>
        </w:tc>
        <w:tc>
          <w:tcPr>
            <w:tcW w:w="960" w:type="dxa"/>
            <w:vMerge w:val="restart"/>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TD-LTE(F)</w:t>
            </w:r>
          </w:p>
        </w:tc>
        <w:tc>
          <w:tcPr>
            <w:tcW w:w="960" w:type="dxa"/>
            <w:vMerge w:val="restart"/>
            <w:tcBorders>
              <w:top w:val="single" w:color="auto" w:sz="8" w:space="0"/>
              <w:left w:val="single" w:color="auto" w:sz="8" w:space="0"/>
              <w:bottom w:val="single" w:color="000000"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DCS1800</w:t>
            </w:r>
          </w:p>
        </w:tc>
        <w:tc>
          <w:tcPr>
            <w:tcW w:w="960" w:type="dxa"/>
            <w:vMerge w:val="restart"/>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TD-LTE(E)</w:t>
            </w:r>
          </w:p>
        </w:tc>
      </w:tr>
      <w:tr>
        <w:tblPrEx>
          <w:tblCellMar>
            <w:top w:w="0" w:type="dxa"/>
            <w:left w:w="108" w:type="dxa"/>
            <w:bottom w:w="0" w:type="dxa"/>
            <w:right w:w="108" w:type="dxa"/>
          </w:tblCellMar>
        </w:tblPrEx>
        <w:trPr>
          <w:trHeight w:val="487" w:hRule="atLeast"/>
          <w:tblHeader/>
        </w:trPr>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c>
          <w:tcPr>
            <w:tcW w:w="960" w:type="dxa"/>
            <w:vMerge w:val="continue"/>
            <w:tcBorders>
              <w:top w:val="single" w:color="auto" w:sz="8" w:space="0"/>
              <w:left w:val="single" w:color="auto" w:sz="8" w:space="0"/>
              <w:bottom w:val="single" w:color="000000" w:sz="8" w:space="0"/>
              <w:right w:val="single" w:color="auto" w:sz="8" w:space="0"/>
            </w:tcBorders>
            <w:vAlign w:val="center"/>
          </w:tcPr>
          <w:p>
            <w:pPr>
              <w:widowControl w:val="0"/>
              <w:jc w:val="both"/>
              <w:rPr>
                <w:rFonts w:ascii="Times New Roman" w:hAnsi="Times New Roman" w:cs="Arial Unicode MS"/>
                <w:sz w:val="21"/>
                <w:szCs w:val="21"/>
              </w:rPr>
            </w:pP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CDMA</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87</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90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87</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GSM</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35</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41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35</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35</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37</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35</w:t>
            </w: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WCDMA</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83</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58</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58</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58</w:t>
            </w: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LTE2100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62</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82</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LTE1800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TD-LTE(F)</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67</w:t>
            </w: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DCS1800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79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45</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43</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55</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55</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55</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55</w:t>
            </w:r>
          </w:p>
        </w:tc>
      </w:tr>
      <w:tr>
        <w:tblPrEx>
          <w:tblCellMar>
            <w:top w:w="0" w:type="dxa"/>
            <w:left w:w="108" w:type="dxa"/>
            <w:bottom w:w="0" w:type="dxa"/>
            <w:right w:w="108" w:type="dxa"/>
          </w:tblCellMar>
        </w:tblPrEx>
        <w:trPr>
          <w:trHeight w:val="288" w:hRule="atLeast"/>
        </w:trPr>
        <w:tc>
          <w:tcPr>
            <w:tcW w:w="960" w:type="dxa"/>
            <w:tcBorders>
              <w:top w:val="nil"/>
              <w:left w:val="single" w:color="auto" w:sz="8" w:space="0"/>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TD-LTE(E)</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80</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59</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64</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64</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64</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81</w:t>
            </w:r>
          </w:p>
        </w:tc>
        <w:tc>
          <w:tcPr>
            <w:tcW w:w="960" w:type="dxa"/>
            <w:tcBorders>
              <w:top w:val="nil"/>
              <w:left w:val="nil"/>
              <w:bottom w:val="single" w:color="auto" w:sz="8" w:space="0"/>
              <w:right w:val="single" w:color="auto" w:sz="8"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　</w:t>
            </w:r>
          </w:p>
        </w:tc>
      </w:tr>
    </w:tbl>
    <w:p>
      <w:pPr>
        <w:widowControl w:val="0"/>
        <w:spacing w:line="360" w:lineRule="auto"/>
        <w:ind w:firstLine="480" w:firstLineChars="200"/>
        <w:jc w:val="both"/>
        <w:rPr>
          <w:rFonts w:ascii="Times New Roman" w:hAnsi="Times New Roman" w:cs="Times New Roman"/>
          <w:kern w:val="2"/>
        </w:rPr>
      </w:pP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实际工程设计中，规避系统间干扰的方法主要如下。</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）采用高品质器件，提高端口隔离度，避免互调干扰；</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）室内分布式系统合建时，采用空间隔离，上下行分缆或三家运营商独自使用一根缆</w:t>
      </w:r>
    </w:p>
    <w:p>
      <w:pPr>
        <w:pStyle w:val="5"/>
      </w:pPr>
      <w:bookmarkStart w:id="186" w:name="_Toc56092784"/>
      <w:r>
        <w:rPr>
          <w:rFonts w:hint="eastAsia"/>
        </w:rPr>
        <w:t>微站规划</w:t>
      </w:r>
      <w:bookmarkEnd w:id="186"/>
    </w:p>
    <w:p>
      <w:pPr>
        <w:widowControl w:val="0"/>
        <w:spacing w:line="360" w:lineRule="auto"/>
        <w:ind w:firstLine="480" w:firstLineChars="200"/>
        <w:jc w:val="both"/>
        <w:rPr>
          <w:rFonts w:ascii="Times New Roman" w:hAnsi="Times New Roman" w:cs="Times New Roman"/>
          <w:kern w:val="2"/>
        </w:rPr>
      </w:pPr>
      <w:bookmarkStart w:id="187" w:name="_Toc452964697"/>
      <w:r>
        <w:rPr>
          <w:rFonts w:hint="eastAsia" w:ascii="Times New Roman" w:hAnsi="Times New Roman" w:cs="Times New Roman"/>
          <w:kern w:val="2"/>
        </w:rPr>
        <w:t>随着移动通信网络的迅速发展以及城市建筑的快速建设，在部分地区室外宏站已经无法达到很好的覆盖，而不断增长的移动用户数随之而来的话务量对基站的容量也是一个不小的考验。尤其是人流量较大的密集区域，</w:t>
      </w:r>
      <w:r>
        <w:rPr>
          <w:rFonts w:ascii="Times New Roman" w:hAnsi="Times New Roman" w:cs="Times New Roman"/>
          <w:kern w:val="2"/>
        </w:rPr>
        <w:t>4G</w:t>
      </w:r>
      <w:r>
        <w:rPr>
          <w:rFonts w:hint="eastAsia" w:ascii="Times New Roman" w:hAnsi="Times New Roman" w:cs="Times New Roman"/>
          <w:kern w:val="2"/>
        </w:rPr>
        <w:t>网络仅仅通过室外宏站覆盖不能给用户以良好的网络体验了。为此运营商纷纷采用了微基站覆盖的方式来解决重点区域的信号覆盖和话务吸收问题。</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同时</w:t>
      </w:r>
      <w:r>
        <w:rPr>
          <w:rFonts w:ascii="Times New Roman" w:hAnsi="Times New Roman" w:cs="Times New Roman"/>
          <w:kern w:val="2"/>
        </w:rPr>
        <w:t>5G</w:t>
      </w:r>
      <w:r>
        <w:rPr>
          <w:rFonts w:hint="eastAsia" w:ascii="Times New Roman" w:hAnsi="Times New Roman" w:cs="Times New Roman"/>
          <w:kern w:val="2"/>
        </w:rPr>
        <w:t>标准正在制定中，从目前</w:t>
      </w:r>
      <w:r>
        <w:rPr>
          <w:rFonts w:ascii="Times New Roman" w:hAnsi="Times New Roman" w:cs="Times New Roman"/>
          <w:kern w:val="2"/>
        </w:rPr>
        <w:t>5G</w:t>
      </w:r>
      <w:r>
        <w:rPr>
          <w:rFonts w:hint="eastAsia" w:ascii="Times New Roman" w:hAnsi="Times New Roman" w:cs="Times New Roman"/>
          <w:kern w:val="2"/>
        </w:rPr>
        <w:t>网络确定的一些技术特性分析，大容量、低时延、超密组网、高频组网等也预示着</w:t>
      </w:r>
      <w:r>
        <w:rPr>
          <w:rFonts w:ascii="Times New Roman" w:hAnsi="Times New Roman" w:cs="Times New Roman"/>
          <w:kern w:val="2"/>
        </w:rPr>
        <w:t>5G</w:t>
      </w:r>
      <w:r>
        <w:rPr>
          <w:rFonts w:hint="eastAsia" w:ascii="Times New Roman" w:hAnsi="Times New Roman" w:cs="Times New Roman"/>
          <w:kern w:val="2"/>
        </w:rPr>
        <w:t>网络将不可能仅仅采用传统宏基站广覆盖的方式来建设，超密集的微基站组网可能将是城区</w:t>
      </w:r>
      <w:r>
        <w:rPr>
          <w:rFonts w:ascii="Times New Roman" w:hAnsi="Times New Roman" w:cs="Times New Roman"/>
          <w:kern w:val="2"/>
        </w:rPr>
        <w:t>5G</w:t>
      </w:r>
      <w:r>
        <w:rPr>
          <w:rFonts w:hint="eastAsia" w:ascii="Times New Roman" w:hAnsi="Times New Roman" w:cs="Times New Roman"/>
          <w:kern w:val="2"/>
        </w:rPr>
        <w:t>网络建设的主要方式。</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相比宏基站，微基站天线挂高相对较低，一般在</w:t>
      </w:r>
      <w:r>
        <w:rPr>
          <w:rFonts w:ascii="Times New Roman" w:hAnsi="Times New Roman" w:cs="Times New Roman"/>
          <w:kern w:val="2"/>
        </w:rPr>
        <w:t>15</w:t>
      </w:r>
      <w:r>
        <w:rPr>
          <w:rFonts w:hint="eastAsia" w:ascii="Times New Roman" w:hAnsi="Times New Roman" w:cs="Times New Roman"/>
          <w:kern w:val="2"/>
        </w:rPr>
        <w:t>米以下，以</w:t>
      </w:r>
      <w:r>
        <w:rPr>
          <w:rFonts w:ascii="Times New Roman" w:hAnsi="Times New Roman" w:cs="Times New Roman"/>
          <w:kern w:val="2"/>
        </w:rPr>
        <w:t>1-2</w:t>
      </w:r>
      <w:r>
        <w:rPr>
          <w:rFonts w:hint="eastAsia" w:ascii="Times New Roman" w:hAnsi="Times New Roman" w:cs="Times New Roman"/>
          <w:kern w:val="2"/>
        </w:rPr>
        <w:t>个扇区为主，多采用美化方式建设，设备形态方式建议采用</w:t>
      </w:r>
      <w:r>
        <w:rPr>
          <w:rFonts w:ascii="Times New Roman" w:hAnsi="Times New Roman" w:cs="Times New Roman"/>
          <w:kern w:val="2"/>
        </w:rPr>
        <w:t>RRU</w:t>
      </w:r>
      <w:r>
        <w:rPr>
          <w:rFonts w:hint="eastAsia" w:ascii="Times New Roman" w:hAnsi="Times New Roman" w:cs="Times New Roman"/>
          <w:kern w:val="2"/>
        </w:rPr>
        <w:t>＋定向小天线，</w:t>
      </w:r>
      <w:r>
        <w:rPr>
          <w:rFonts w:ascii="Times New Roman" w:hAnsi="Times New Roman" w:cs="Times New Roman"/>
          <w:kern w:val="2"/>
        </w:rPr>
        <w:t>EasyMaCro</w:t>
      </w:r>
      <w:r>
        <w:rPr>
          <w:rFonts w:hint="eastAsia" w:ascii="Times New Roman" w:hAnsi="Times New Roman" w:cs="Times New Roman"/>
          <w:kern w:val="2"/>
        </w:rPr>
        <w:t>，</w:t>
      </w:r>
      <w:r>
        <w:rPr>
          <w:rFonts w:ascii="Times New Roman" w:hAnsi="Times New Roman" w:cs="Times New Roman"/>
          <w:kern w:val="2"/>
        </w:rPr>
        <w:t>VRRU</w:t>
      </w:r>
      <w:r>
        <w:rPr>
          <w:rFonts w:hint="eastAsia" w:ascii="Times New Roman" w:hAnsi="Times New Roman" w:cs="Times New Roman"/>
          <w:kern w:val="2"/>
        </w:rPr>
        <w:t>等。</w:t>
      </w:r>
    </w:p>
    <w:p>
      <w:pPr>
        <w:pStyle w:val="6"/>
        <w:numPr>
          <w:ilvl w:val="0"/>
          <w:numId w:val="43"/>
        </w:numPr>
      </w:pPr>
      <w:r>
        <w:rPr>
          <w:rFonts w:hint="eastAsia"/>
        </w:rPr>
        <w:t>覆盖效果分析</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微基站的建设主要采用以下一些原则。</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）靠近覆盖目标部署；</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）高度高于覆盖目标</w:t>
      </w:r>
      <w:r>
        <w:rPr>
          <w:rFonts w:ascii="Times New Roman" w:hAnsi="Times New Roman" w:cs="Times New Roman"/>
          <w:kern w:val="2"/>
        </w:rPr>
        <w:t>3-5</w:t>
      </w:r>
      <w:r>
        <w:rPr>
          <w:rFonts w:hint="eastAsia" w:ascii="Times New Roman" w:hAnsi="Times New Roman" w:cs="Times New Roman"/>
          <w:kern w:val="2"/>
        </w:rPr>
        <w:t>米时，覆盖能力相当于宏站，效果较好；</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）高度低于覆盖目标时，需要有良好的无线传播空间，尤其应避免近场阻挡（</w:t>
      </w:r>
      <w:r>
        <w:rPr>
          <w:rFonts w:ascii="Times New Roman" w:hAnsi="Times New Roman" w:cs="Times New Roman"/>
          <w:kern w:val="2"/>
        </w:rPr>
        <w:t>3</w:t>
      </w:r>
      <w:r>
        <w:rPr>
          <w:rFonts w:hint="eastAsia" w:ascii="Times New Roman" w:hAnsi="Times New Roman" w:cs="Times New Roman"/>
          <w:kern w:val="2"/>
        </w:rPr>
        <w:t>米杆应避免中型车辆阻挡；</w:t>
      </w:r>
      <w:r>
        <w:rPr>
          <w:rFonts w:ascii="Times New Roman" w:hAnsi="Times New Roman" w:cs="Times New Roman"/>
          <w:kern w:val="2"/>
        </w:rPr>
        <w:t>6</w:t>
      </w:r>
      <w:r>
        <w:rPr>
          <w:rFonts w:hint="eastAsia" w:ascii="Times New Roman" w:hAnsi="Times New Roman" w:cs="Times New Roman"/>
          <w:kern w:val="2"/>
        </w:rPr>
        <w:t>米杆因避免大型车辆阻挡；</w:t>
      </w:r>
      <w:r>
        <w:rPr>
          <w:rFonts w:ascii="Times New Roman" w:hAnsi="Times New Roman" w:cs="Times New Roman"/>
          <w:kern w:val="2"/>
        </w:rPr>
        <w:t>10-20</w:t>
      </w:r>
      <w:r>
        <w:rPr>
          <w:rFonts w:hint="eastAsia" w:ascii="Times New Roman" w:hAnsi="Times New Roman" w:cs="Times New Roman"/>
          <w:kern w:val="2"/>
        </w:rPr>
        <w:t>米杆应避免树木阻挡）。</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通过技术分析可以看出，针对不同的覆盖场景，应该选取不同高度的杆站；对于小型广场、步行街，由于没有障碍物阻挡，微基站可采用</w:t>
      </w:r>
      <w:r>
        <w:rPr>
          <w:rFonts w:ascii="Times New Roman" w:hAnsi="Times New Roman" w:cs="Times New Roman"/>
          <w:kern w:val="2"/>
        </w:rPr>
        <w:t>3-10</w:t>
      </w:r>
      <w:r>
        <w:rPr>
          <w:rFonts w:hint="eastAsia" w:ascii="Times New Roman" w:hAnsi="Times New Roman" w:cs="Times New Roman"/>
          <w:kern w:val="2"/>
        </w:rPr>
        <w:t>米高度的杆站；对于一般道路和普通住宅区域，微基站可采用</w:t>
      </w:r>
      <w:r>
        <w:rPr>
          <w:rFonts w:ascii="Times New Roman" w:hAnsi="Times New Roman" w:cs="Times New Roman"/>
          <w:kern w:val="2"/>
        </w:rPr>
        <w:t>6</w:t>
      </w:r>
      <w:r>
        <w:rPr>
          <w:rFonts w:hint="eastAsia" w:ascii="Times New Roman" w:hAnsi="Times New Roman" w:cs="Times New Roman"/>
          <w:kern w:val="2"/>
        </w:rPr>
        <w:t>米以上高度的杆站；对于高层住宅区，微基站可采用</w:t>
      </w:r>
      <w:r>
        <w:rPr>
          <w:rFonts w:ascii="Times New Roman" w:hAnsi="Times New Roman" w:cs="Times New Roman"/>
          <w:kern w:val="2"/>
        </w:rPr>
        <w:t>10</w:t>
      </w:r>
      <w:r>
        <w:rPr>
          <w:rFonts w:hint="eastAsia" w:ascii="Times New Roman" w:hAnsi="Times New Roman" w:cs="Times New Roman"/>
          <w:kern w:val="2"/>
        </w:rPr>
        <w:t>米以上高度的杆站；对于别墅区域，微基站可采用</w:t>
      </w:r>
      <w:r>
        <w:rPr>
          <w:rFonts w:ascii="Times New Roman" w:hAnsi="Times New Roman" w:cs="Times New Roman"/>
          <w:kern w:val="2"/>
        </w:rPr>
        <w:t>15</w:t>
      </w:r>
      <w:r>
        <w:rPr>
          <w:rFonts w:hint="eastAsia" w:ascii="Times New Roman" w:hAnsi="Times New Roman" w:cs="Times New Roman"/>
          <w:kern w:val="2"/>
        </w:rPr>
        <w:t>米左右高度的杆站；其他</w:t>
      </w:r>
      <w:r>
        <w:rPr>
          <w:rFonts w:ascii="Times New Roman" w:hAnsi="Times New Roman" w:cs="Times New Roman"/>
          <w:kern w:val="2"/>
        </w:rPr>
        <w:t>CBD</w:t>
      </w:r>
      <w:r>
        <w:rPr>
          <w:rFonts w:hint="eastAsia" w:ascii="Times New Roman" w:hAnsi="Times New Roman" w:cs="Times New Roman"/>
          <w:kern w:val="2"/>
        </w:rPr>
        <w:t>室外区域、工业园区、景区等，建议建设</w:t>
      </w:r>
      <w:r>
        <w:rPr>
          <w:rFonts w:ascii="Times New Roman" w:hAnsi="Times New Roman" w:cs="Times New Roman"/>
          <w:kern w:val="2"/>
        </w:rPr>
        <w:t>20</w:t>
      </w:r>
      <w:r>
        <w:rPr>
          <w:rFonts w:hint="eastAsia" w:ascii="Times New Roman" w:hAnsi="Times New Roman" w:cs="Times New Roman"/>
          <w:kern w:val="2"/>
        </w:rPr>
        <w:t>米以上的杆站来提供网络覆盖。各类微基站应用场景如下图所示。</w:t>
      </w:r>
    </w:p>
    <w:p>
      <w:pPr>
        <w:widowControl w:val="0"/>
        <w:spacing w:line="360" w:lineRule="auto"/>
        <w:jc w:val="both"/>
        <w:rPr>
          <w:rFonts w:ascii="Times New Roman" w:hAnsi="Times New Roman" w:cs="Times New Roman"/>
          <w:kern w:val="2"/>
        </w:rPr>
      </w:pPr>
      <w:r>
        <w:rPr>
          <w:rFonts w:ascii="Times New Roman" w:hAnsi="Times New Roman" w:cs="Times New Roman"/>
          <w:kern w:val="2"/>
        </w:rPr>
        <w:pict>
          <v:shape id="_x0000_i1034" o:spt="75" type="#_x0000_t75" style="height:138pt;width:462pt;" filled="f" o:preferrelative="t" stroked="f" coordsize="21600,21600">
            <v:path/>
            <v:fill on="f" focussize="0,0"/>
            <v:stroke on="f" joinstyle="miter"/>
            <v:imagedata r:id="rId24" o:title=""/>
            <o:lock v:ext="edit" aspectratio="t"/>
            <w10:wrap type="none"/>
            <w10:anchorlock/>
          </v:shape>
        </w:pict>
      </w:r>
    </w:p>
    <w:p>
      <w:pPr>
        <w:pStyle w:val="8"/>
        <w:spacing w:before="48" w:after="48"/>
      </w:pPr>
      <w:r>
        <w:rPr>
          <w:rFonts w:hint="eastAsia"/>
        </w:rPr>
        <w:t>图</w:t>
      </w:r>
      <w:r>
        <w:t xml:space="preserve">6-6 </w:t>
      </w:r>
      <w:r>
        <w:rPr>
          <w:rFonts w:hint="eastAsia"/>
        </w:rPr>
        <w:t>微基站应用场景</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通过</w:t>
      </w:r>
      <w:r>
        <w:rPr>
          <w:rFonts w:ascii="ËÎÌå" w:hAnsi="ËÎÌå" w:cs="ËÎÌå"/>
          <w:kern w:val="2"/>
        </w:rPr>
        <w:t>4G</w:t>
      </w:r>
      <w:r>
        <w:rPr>
          <w:rFonts w:hint="eastAsia" w:ascii="Times New Roman" w:hAnsi="Times New Roman" w:cs="Times New Roman"/>
          <w:kern w:val="2"/>
        </w:rPr>
        <w:t>网络现场测试（边缘场强</w:t>
      </w:r>
      <w:r>
        <w:rPr>
          <w:rFonts w:ascii="ËÎÌå" w:hAnsi="ËÎÌå" w:cs="ËÎÌå"/>
          <w:kern w:val="2"/>
        </w:rPr>
        <w:t>-105dBm</w:t>
      </w:r>
      <w:r>
        <w:rPr>
          <w:rFonts w:hint="eastAsia" w:ascii="Times New Roman" w:hAnsi="Times New Roman" w:cs="Times New Roman"/>
          <w:kern w:val="2"/>
        </w:rPr>
        <w:t>）及</w:t>
      </w:r>
      <w:r>
        <w:rPr>
          <w:rFonts w:ascii="ËÎÌå" w:hAnsi="ËÎÌå" w:cs="ËÎÌå"/>
          <w:kern w:val="2"/>
        </w:rPr>
        <w:t>5G</w:t>
      </w:r>
      <w:r>
        <w:rPr>
          <w:rFonts w:hint="eastAsia" w:ascii="Times New Roman" w:hAnsi="Times New Roman" w:cs="Times New Roman"/>
          <w:kern w:val="2"/>
        </w:rPr>
        <w:t>网络覆盖模型分析，</w:t>
      </w:r>
      <w:r>
        <w:rPr>
          <w:rFonts w:ascii="ËÎÌå" w:hAnsi="ËÎÌå" w:cs="ËÎÌå"/>
          <w:kern w:val="2"/>
        </w:rPr>
        <w:t>4G</w:t>
      </w:r>
      <w:r>
        <w:rPr>
          <w:rFonts w:hint="eastAsia" w:ascii="Times New Roman" w:hAnsi="Times New Roman" w:cs="Times New Roman"/>
          <w:kern w:val="2"/>
        </w:rPr>
        <w:t>与</w:t>
      </w:r>
      <w:r>
        <w:rPr>
          <w:rFonts w:ascii="ËÎÌå" w:hAnsi="ËÎÌå" w:cs="ËÎÌå"/>
          <w:kern w:val="2"/>
        </w:rPr>
        <w:t>5G</w:t>
      </w:r>
      <w:r>
        <w:rPr>
          <w:rFonts w:hint="eastAsia" w:ascii="Times New Roman" w:hAnsi="Times New Roman" w:cs="Times New Roman"/>
          <w:kern w:val="2"/>
        </w:rPr>
        <w:t>网络微基站在不同场景下的覆盖能力对比如下表所示。</w:t>
      </w:r>
    </w:p>
    <w:p>
      <w:pPr>
        <w:pStyle w:val="8"/>
        <w:spacing w:before="48" w:after="48"/>
      </w:pPr>
      <w:r>
        <w:rPr>
          <w:rFonts w:hint="eastAsia"/>
        </w:rPr>
        <w:t>表</w:t>
      </w:r>
      <w:r>
        <w:t>6-6 4G/5G</w:t>
      </w:r>
      <w:r>
        <w:rPr>
          <w:rFonts w:hint="eastAsia"/>
        </w:rPr>
        <w:t>网络微基站覆盖距离对比</w:t>
      </w:r>
    </w:p>
    <w:tbl>
      <w:tblPr>
        <w:tblStyle w:val="30"/>
        <w:tblW w:w="5000" w:type="pct"/>
        <w:tblInd w:w="0" w:type="dxa"/>
        <w:tblLayout w:type="autofit"/>
        <w:tblCellMar>
          <w:top w:w="0" w:type="dxa"/>
          <w:left w:w="108" w:type="dxa"/>
          <w:bottom w:w="0" w:type="dxa"/>
          <w:right w:w="108" w:type="dxa"/>
        </w:tblCellMar>
      </w:tblPr>
      <w:tblGrid>
        <w:gridCol w:w="1143"/>
        <w:gridCol w:w="1266"/>
        <w:gridCol w:w="3722"/>
        <w:gridCol w:w="3417"/>
      </w:tblGrid>
      <w:tr>
        <w:tblPrEx>
          <w:tblCellMar>
            <w:top w:w="0" w:type="dxa"/>
            <w:left w:w="108" w:type="dxa"/>
            <w:bottom w:w="0" w:type="dxa"/>
            <w:right w:w="108" w:type="dxa"/>
          </w:tblCellMar>
        </w:tblPrEx>
        <w:trPr>
          <w:trHeight w:val="113" w:hRule="atLeast"/>
          <w:tblHeader/>
        </w:trPr>
        <w:tc>
          <w:tcPr>
            <w:tcW w:w="615" w:type="pct"/>
            <w:vMerge w:val="restart"/>
            <w:tcBorders>
              <w:top w:val="single" w:color="auto" w:sz="4" w:space="0"/>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场景</w:t>
            </w:r>
          </w:p>
        </w:tc>
        <w:tc>
          <w:tcPr>
            <w:tcW w:w="615" w:type="pct"/>
            <w:vMerge w:val="restart"/>
            <w:tcBorders>
              <w:top w:val="single" w:color="auto" w:sz="4" w:space="0"/>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杆高（米）</w:t>
            </w:r>
          </w:p>
        </w:tc>
        <w:tc>
          <w:tcPr>
            <w:tcW w:w="3770" w:type="pct"/>
            <w:gridSpan w:val="2"/>
            <w:tcBorders>
              <w:top w:val="single" w:color="auto" w:sz="4" w:space="0"/>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覆盖距离（米）</w:t>
            </w:r>
          </w:p>
        </w:tc>
      </w:tr>
      <w:tr>
        <w:tblPrEx>
          <w:tblCellMar>
            <w:top w:w="0" w:type="dxa"/>
            <w:left w:w="108" w:type="dxa"/>
            <w:bottom w:w="0" w:type="dxa"/>
            <w:right w:w="108" w:type="dxa"/>
          </w:tblCellMar>
        </w:tblPrEx>
        <w:trPr>
          <w:trHeight w:val="113" w:hRule="atLeast"/>
          <w:tblHeader/>
        </w:trPr>
        <w:tc>
          <w:tcPr>
            <w:tcW w:w="615"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both"/>
              <w:rPr>
                <w:rFonts w:ascii="Times New Roman" w:hAnsi="Times New Roman" w:cs="Arial Unicode MS"/>
                <w:sz w:val="21"/>
                <w:szCs w:val="21"/>
              </w:rPr>
            </w:pPr>
          </w:p>
        </w:tc>
        <w:tc>
          <w:tcPr>
            <w:tcW w:w="615" w:type="pct"/>
            <w:vMerge w:val="continue"/>
            <w:tcBorders>
              <w:top w:val="single" w:color="auto" w:sz="4" w:space="0"/>
              <w:left w:val="single" w:color="auto" w:sz="4" w:space="0"/>
              <w:bottom w:val="single" w:color="auto" w:sz="4" w:space="0"/>
              <w:right w:val="single" w:color="auto" w:sz="4" w:space="0"/>
            </w:tcBorders>
            <w:vAlign w:val="center"/>
          </w:tcPr>
          <w:p>
            <w:pPr>
              <w:widowControl w:val="0"/>
              <w:jc w:val="both"/>
              <w:rPr>
                <w:rFonts w:ascii="Times New Roman" w:hAnsi="Times New Roman" w:cs="Arial Unicode MS"/>
                <w:sz w:val="21"/>
                <w:szCs w:val="21"/>
              </w:rPr>
            </w:pP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4G</w:t>
            </w:r>
            <w:r>
              <w:rPr>
                <w:rFonts w:hint="eastAsia" w:ascii="Times New Roman" w:hAnsi="Times New Roman" w:cs="Arial Unicode MS"/>
                <w:sz w:val="21"/>
                <w:szCs w:val="21"/>
              </w:rPr>
              <w:t>网络</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5G</w:t>
            </w:r>
            <w:r>
              <w:rPr>
                <w:rFonts w:hint="eastAsia" w:ascii="Times New Roman" w:hAnsi="Times New Roman" w:cs="Arial Unicode MS"/>
                <w:sz w:val="21"/>
                <w:szCs w:val="21"/>
              </w:rPr>
              <w:t>网络</w:t>
            </w:r>
          </w:p>
        </w:tc>
      </w:tr>
      <w:tr>
        <w:tblPrEx>
          <w:tblCellMar>
            <w:top w:w="0" w:type="dxa"/>
            <w:left w:w="108" w:type="dxa"/>
            <w:bottom w:w="0" w:type="dxa"/>
            <w:right w:w="108" w:type="dxa"/>
          </w:tblCellMar>
        </w:tblPrEx>
        <w:trPr>
          <w:trHeight w:val="113" w:hRule="atLeast"/>
        </w:trPr>
        <w:tc>
          <w:tcPr>
            <w:tcW w:w="615" w:type="pct"/>
            <w:vMerge w:val="restart"/>
            <w:tcBorders>
              <w:top w:val="nil"/>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居民区</w:t>
            </w: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100</w:t>
            </w:r>
            <w:r>
              <w:rPr>
                <w:rFonts w:hint="eastAsia" w:ascii="Times New Roman" w:hAnsi="Times New Roman" w:cs="Arial Unicode MS"/>
                <w:sz w:val="21"/>
                <w:szCs w:val="21"/>
              </w:rPr>
              <w:t>～</w:t>
            </w:r>
            <w:r>
              <w:rPr>
                <w:rFonts w:ascii="Times New Roman" w:hAnsi="Times New Roman" w:cs="Arial Unicode MS"/>
                <w:sz w:val="21"/>
                <w:szCs w:val="21"/>
              </w:rPr>
              <w:t>150</w:t>
            </w:r>
            <w:r>
              <w:rPr>
                <w:rFonts w:hint="eastAsia" w:ascii="Times New Roman" w:hAnsi="Times New Roman" w:cs="Arial Unicode MS"/>
                <w:sz w:val="21"/>
                <w:szCs w:val="21"/>
              </w:rPr>
              <w:t>（低层居民楼）</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50</w:t>
            </w:r>
            <w:r>
              <w:rPr>
                <w:rFonts w:hint="eastAsia" w:ascii="Times New Roman" w:hAnsi="Times New Roman" w:cs="Arial Unicode MS"/>
                <w:sz w:val="21"/>
                <w:szCs w:val="21"/>
              </w:rPr>
              <w:t>～</w:t>
            </w:r>
            <w:r>
              <w:rPr>
                <w:rFonts w:ascii="Times New Roman" w:hAnsi="Times New Roman" w:cs="Arial Unicode MS"/>
                <w:sz w:val="21"/>
                <w:szCs w:val="21"/>
              </w:rPr>
              <w:t>60</w:t>
            </w:r>
            <w:r>
              <w:rPr>
                <w:rFonts w:hint="eastAsia" w:ascii="Times New Roman" w:hAnsi="Times New Roman" w:cs="Arial Unicode MS"/>
                <w:sz w:val="21"/>
                <w:szCs w:val="21"/>
              </w:rPr>
              <w:t>（低层居民楼）</w:t>
            </w:r>
          </w:p>
        </w:tc>
      </w:tr>
      <w:tr>
        <w:tblPrEx>
          <w:tblCellMar>
            <w:top w:w="0" w:type="dxa"/>
            <w:left w:w="108" w:type="dxa"/>
            <w:bottom w:w="0" w:type="dxa"/>
            <w:right w:w="108" w:type="dxa"/>
          </w:tblCellMar>
        </w:tblPrEx>
        <w:trPr>
          <w:trHeight w:val="113" w:hRule="atLeast"/>
        </w:trPr>
        <w:tc>
          <w:tcPr>
            <w:tcW w:w="615" w:type="pct"/>
            <w:vMerge w:val="continue"/>
            <w:tcBorders>
              <w:top w:val="nil"/>
              <w:left w:val="single" w:color="auto" w:sz="4" w:space="0"/>
              <w:bottom w:val="single" w:color="auto" w:sz="4" w:space="0"/>
              <w:right w:val="single" w:color="auto" w:sz="4" w:space="0"/>
            </w:tcBorders>
            <w:vAlign w:val="center"/>
          </w:tcPr>
          <w:p>
            <w:pPr>
              <w:widowControl w:val="0"/>
              <w:jc w:val="both"/>
              <w:rPr>
                <w:rFonts w:ascii="Times New Roman" w:hAnsi="Times New Roman" w:cs="Arial Unicode MS"/>
                <w:sz w:val="21"/>
                <w:szCs w:val="21"/>
              </w:rPr>
            </w:pP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20</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225</w:t>
            </w:r>
            <w:r>
              <w:rPr>
                <w:rFonts w:hint="eastAsia" w:ascii="Times New Roman" w:hAnsi="Times New Roman" w:cs="Arial Unicode MS"/>
                <w:sz w:val="21"/>
                <w:szCs w:val="21"/>
              </w:rPr>
              <w:t>～</w:t>
            </w:r>
            <w:r>
              <w:rPr>
                <w:rFonts w:ascii="Times New Roman" w:hAnsi="Times New Roman" w:cs="Arial Unicode MS"/>
                <w:sz w:val="21"/>
                <w:szCs w:val="21"/>
              </w:rPr>
              <w:t>300</w:t>
            </w:r>
            <w:r>
              <w:rPr>
                <w:rFonts w:hint="eastAsia" w:ascii="Times New Roman" w:hAnsi="Times New Roman" w:cs="Arial Unicode MS"/>
                <w:sz w:val="21"/>
                <w:szCs w:val="21"/>
              </w:rPr>
              <w:t>（高层居民楼）</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100</w:t>
            </w:r>
            <w:r>
              <w:rPr>
                <w:rFonts w:hint="eastAsia" w:ascii="Times New Roman" w:hAnsi="Times New Roman" w:cs="Arial Unicode MS"/>
                <w:sz w:val="21"/>
                <w:szCs w:val="21"/>
              </w:rPr>
              <w:t>～</w:t>
            </w:r>
            <w:r>
              <w:rPr>
                <w:rFonts w:ascii="Times New Roman" w:hAnsi="Times New Roman" w:cs="Arial Unicode MS"/>
                <w:sz w:val="21"/>
                <w:szCs w:val="21"/>
              </w:rPr>
              <w:t>130</w:t>
            </w:r>
            <w:r>
              <w:rPr>
                <w:rFonts w:hint="eastAsia" w:ascii="Times New Roman" w:hAnsi="Times New Roman" w:cs="Arial Unicode MS"/>
                <w:sz w:val="21"/>
                <w:szCs w:val="21"/>
              </w:rPr>
              <w:t>（高层居民楼）</w:t>
            </w:r>
          </w:p>
        </w:tc>
      </w:tr>
      <w:tr>
        <w:tblPrEx>
          <w:tblCellMar>
            <w:top w:w="0" w:type="dxa"/>
            <w:left w:w="108" w:type="dxa"/>
            <w:bottom w:w="0" w:type="dxa"/>
            <w:right w:w="108" w:type="dxa"/>
          </w:tblCellMar>
        </w:tblPrEx>
        <w:trPr>
          <w:trHeight w:val="113" w:hRule="atLeast"/>
        </w:trPr>
        <w:tc>
          <w:tcPr>
            <w:tcW w:w="615" w:type="pct"/>
            <w:vMerge w:val="restart"/>
            <w:tcBorders>
              <w:top w:val="nil"/>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别墅区</w:t>
            </w:r>
          </w:p>
        </w:tc>
        <w:tc>
          <w:tcPr>
            <w:tcW w:w="615" w:type="pct"/>
            <w:vMerge w:val="restart"/>
            <w:tcBorders>
              <w:top w:val="nil"/>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15</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150</w:t>
            </w:r>
            <w:r>
              <w:rPr>
                <w:rFonts w:hint="eastAsia" w:ascii="Times New Roman" w:hAnsi="Times New Roman" w:cs="Arial Unicode MS"/>
                <w:sz w:val="21"/>
                <w:szCs w:val="21"/>
              </w:rPr>
              <w:t>（室内）</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60</w:t>
            </w:r>
            <w:r>
              <w:rPr>
                <w:rFonts w:hint="eastAsia" w:ascii="Times New Roman" w:hAnsi="Times New Roman" w:cs="Arial Unicode MS"/>
                <w:sz w:val="21"/>
                <w:szCs w:val="21"/>
              </w:rPr>
              <w:t>（室内）</w:t>
            </w:r>
          </w:p>
        </w:tc>
      </w:tr>
      <w:tr>
        <w:tblPrEx>
          <w:tblCellMar>
            <w:top w:w="0" w:type="dxa"/>
            <w:left w:w="108" w:type="dxa"/>
            <w:bottom w:w="0" w:type="dxa"/>
            <w:right w:w="108" w:type="dxa"/>
          </w:tblCellMar>
        </w:tblPrEx>
        <w:trPr>
          <w:trHeight w:val="113" w:hRule="atLeast"/>
        </w:trPr>
        <w:tc>
          <w:tcPr>
            <w:tcW w:w="615" w:type="pct"/>
            <w:vMerge w:val="continue"/>
            <w:tcBorders>
              <w:top w:val="nil"/>
              <w:left w:val="single" w:color="auto" w:sz="4" w:space="0"/>
              <w:bottom w:val="single" w:color="auto" w:sz="4" w:space="0"/>
              <w:right w:val="single" w:color="auto" w:sz="4" w:space="0"/>
            </w:tcBorders>
            <w:vAlign w:val="center"/>
          </w:tcPr>
          <w:p>
            <w:pPr>
              <w:widowControl w:val="0"/>
              <w:jc w:val="both"/>
              <w:rPr>
                <w:rFonts w:ascii="Times New Roman" w:hAnsi="Times New Roman" w:cs="Arial Unicode MS"/>
                <w:sz w:val="21"/>
                <w:szCs w:val="21"/>
              </w:rPr>
            </w:pPr>
          </w:p>
        </w:tc>
        <w:tc>
          <w:tcPr>
            <w:tcW w:w="615" w:type="pct"/>
            <w:vMerge w:val="continue"/>
            <w:tcBorders>
              <w:top w:val="nil"/>
              <w:left w:val="single" w:color="auto" w:sz="4" w:space="0"/>
              <w:bottom w:val="single" w:color="auto" w:sz="4" w:space="0"/>
              <w:right w:val="single" w:color="auto" w:sz="4" w:space="0"/>
            </w:tcBorders>
            <w:vAlign w:val="center"/>
          </w:tcPr>
          <w:p>
            <w:pPr>
              <w:widowControl w:val="0"/>
              <w:jc w:val="both"/>
              <w:rPr>
                <w:rFonts w:ascii="Times New Roman" w:hAnsi="Times New Roman" w:cs="Arial Unicode MS"/>
                <w:sz w:val="21"/>
                <w:szCs w:val="21"/>
              </w:rPr>
            </w:pP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250</w:t>
            </w:r>
            <w:r>
              <w:rPr>
                <w:rFonts w:hint="eastAsia" w:ascii="Times New Roman" w:hAnsi="Times New Roman" w:cs="Arial Unicode MS"/>
                <w:sz w:val="21"/>
                <w:szCs w:val="21"/>
              </w:rPr>
              <w:t>（室外）</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80</w:t>
            </w:r>
            <w:r>
              <w:rPr>
                <w:rFonts w:hint="eastAsia" w:ascii="Times New Roman" w:hAnsi="Times New Roman" w:cs="Arial Unicode MS"/>
                <w:sz w:val="21"/>
                <w:szCs w:val="21"/>
              </w:rPr>
              <w:t>（室外）</w:t>
            </w:r>
          </w:p>
        </w:tc>
      </w:tr>
      <w:tr>
        <w:tblPrEx>
          <w:tblCellMar>
            <w:top w:w="0" w:type="dxa"/>
            <w:left w:w="108" w:type="dxa"/>
            <w:bottom w:w="0" w:type="dxa"/>
            <w:right w:w="108" w:type="dxa"/>
          </w:tblCellMar>
        </w:tblPrEx>
        <w:trPr>
          <w:trHeight w:val="113" w:hRule="atLeast"/>
        </w:trPr>
        <w:tc>
          <w:tcPr>
            <w:tcW w:w="615" w:type="pct"/>
            <w:vMerge w:val="restart"/>
            <w:tcBorders>
              <w:top w:val="nil"/>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道路</w:t>
            </w: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6</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300</w:t>
            </w:r>
            <w:r>
              <w:rPr>
                <w:rFonts w:hint="eastAsia" w:ascii="Times New Roman" w:hAnsi="Times New Roman" w:cs="Arial Unicode MS"/>
                <w:sz w:val="21"/>
                <w:szCs w:val="21"/>
              </w:rPr>
              <w:t>（地面）</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80</w:t>
            </w:r>
            <w:r>
              <w:rPr>
                <w:rFonts w:hint="eastAsia" w:ascii="Times New Roman" w:hAnsi="Times New Roman" w:cs="Arial Unicode MS"/>
                <w:sz w:val="21"/>
                <w:szCs w:val="21"/>
              </w:rPr>
              <w:t>（地面）</w:t>
            </w:r>
          </w:p>
        </w:tc>
      </w:tr>
      <w:tr>
        <w:tblPrEx>
          <w:tblCellMar>
            <w:top w:w="0" w:type="dxa"/>
            <w:left w:w="108" w:type="dxa"/>
            <w:bottom w:w="0" w:type="dxa"/>
            <w:right w:w="108" w:type="dxa"/>
          </w:tblCellMar>
        </w:tblPrEx>
        <w:trPr>
          <w:trHeight w:val="113" w:hRule="atLeast"/>
        </w:trPr>
        <w:tc>
          <w:tcPr>
            <w:tcW w:w="615" w:type="pct"/>
            <w:vMerge w:val="continue"/>
            <w:tcBorders>
              <w:top w:val="nil"/>
              <w:left w:val="single" w:color="auto" w:sz="4" w:space="0"/>
              <w:bottom w:val="single" w:color="auto" w:sz="4" w:space="0"/>
              <w:right w:val="single" w:color="auto" w:sz="4" w:space="0"/>
            </w:tcBorders>
            <w:vAlign w:val="center"/>
          </w:tcPr>
          <w:p>
            <w:pPr>
              <w:widowControl w:val="0"/>
              <w:jc w:val="both"/>
              <w:rPr>
                <w:rFonts w:ascii="Times New Roman" w:hAnsi="Times New Roman" w:cs="Arial Unicode MS"/>
                <w:sz w:val="21"/>
                <w:szCs w:val="21"/>
              </w:rPr>
            </w:pP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100</w:t>
            </w:r>
            <w:r>
              <w:rPr>
                <w:rFonts w:hint="eastAsia" w:ascii="Times New Roman" w:hAnsi="Times New Roman" w:cs="Arial Unicode MS"/>
                <w:sz w:val="21"/>
                <w:szCs w:val="21"/>
              </w:rPr>
              <w:t>（地下）</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50</w:t>
            </w:r>
            <w:r>
              <w:rPr>
                <w:rFonts w:hint="eastAsia" w:ascii="Times New Roman" w:hAnsi="Times New Roman" w:cs="Arial Unicode MS"/>
                <w:sz w:val="21"/>
                <w:szCs w:val="21"/>
              </w:rPr>
              <w:t>（地下）</w:t>
            </w:r>
          </w:p>
        </w:tc>
      </w:tr>
      <w:tr>
        <w:tblPrEx>
          <w:tblCellMar>
            <w:top w:w="0" w:type="dxa"/>
            <w:left w:w="108" w:type="dxa"/>
            <w:bottom w:w="0" w:type="dxa"/>
            <w:right w:w="108" w:type="dxa"/>
          </w:tblCellMar>
        </w:tblPrEx>
        <w:trPr>
          <w:trHeight w:val="113" w:hRule="atLeast"/>
        </w:trPr>
        <w:tc>
          <w:tcPr>
            <w:tcW w:w="615" w:type="pct"/>
            <w:vMerge w:val="restart"/>
            <w:tcBorders>
              <w:top w:val="nil"/>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商务区</w:t>
            </w: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18</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300</w:t>
            </w:r>
            <w:r>
              <w:rPr>
                <w:rFonts w:hint="eastAsia" w:ascii="Times New Roman" w:hAnsi="Times New Roman" w:cs="Arial Unicode MS"/>
                <w:sz w:val="21"/>
                <w:szCs w:val="21"/>
              </w:rPr>
              <w:t>（室外）</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100</w:t>
            </w:r>
            <w:r>
              <w:rPr>
                <w:rFonts w:hint="eastAsia" w:ascii="Times New Roman" w:hAnsi="Times New Roman" w:cs="Arial Unicode MS"/>
                <w:sz w:val="21"/>
                <w:szCs w:val="21"/>
              </w:rPr>
              <w:t>（室外）</w:t>
            </w:r>
          </w:p>
        </w:tc>
      </w:tr>
      <w:tr>
        <w:tblPrEx>
          <w:tblCellMar>
            <w:top w:w="0" w:type="dxa"/>
            <w:left w:w="108" w:type="dxa"/>
            <w:bottom w:w="0" w:type="dxa"/>
            <w:right w:w="108" w:type="dxa"/>
          </w:tblCellMar>
        </w:tblPrEx>
        <w:trPr>
          <w:trHeight w:val="113" w:hRule="atLeast"/>
        </w:trPr>
        <w:tc>
          <w:tcPr>
            <w:tcW w:w="615" w:type="pct"/>
            <w:vMerge w:val="continue"/>
            <w:tcBorders>
              <w:top w:val="nil"/>
              <w:left w:val="single" w:color="auto" w:sz="4" w:space="0"/>
              <w:bottom w:val="single" w:color="auto" w:sz="4" w:space="0"/>
              <w:right w:val="single" w:color="auto" w:sz="4" w:space="0"/>
            </w:tcBorders>
            <w:vAlign w:val="center"/>
          </w:tcPr>
          <w:p>
            <w:pPr>
              <w:widowControl w:val="0"/>
              <w:jc w:val="both"/>
              <w:rPr>
                <w:rFonts w:ascii="Times New Roman" w:hAnsi="Times New Roman" w:cs="Arial Unicode MS"/>
                <w:sz w:val="21"/>
                <w:szCs w:val="21"/>
              </w:rPr>
            </w:pP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80</w:t>
            </w:r>
            <w:r>
              <w:rPr>
                <w:rFonts w:hint="eastAsia" w:ascii="Times New Roman" w:hAnsi="Times New Roman" w:cs="Arial Unicode MS"/>
                <w:sz w:val="21"/>
                <w:szCs w:val="21"/>
              </w:rPr>
              <w:t>～</w:t>
            </w:r>
            <w:r>
              <w:rPr>
                <w:rFonts w:ascii="Times New Roman" w:hAnsi="Times New Roman" w:cs="Arial Unicode MS"/>
                <w:sz w:val="21"/>
                <w:szCs w:val="21"/>
              </w:rPr>
              <w:t xml:space="preserve"> 120</w:t>
            </w:r>
            <w:r>
              <w:rPr>
                <w:rFonts w:hint="eastAsia" w:ascii="Times New Roman" w:hAnsi="Times New Roman" w:cs="Arial Unicode MS"/>
                <w:sz w:val="21"/>
                <w:szCs w:val="21"/>
              </w:rPr>
              <w:t>（下层广场）</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50</w:t>
            </w:r>
            <w:r>
              <w:rPr>
                <w:rFonts w:hint="eastAsia" w:ascii="Times New Roman" w:hAnsi="Times New Roman" w:cs="Arial Unicode MS"/>
                <w:sz w:val="21"/>
                <w:szCs w:val="21"/>
              </w:rPr>
              <w:t>～</w:t>
            </w:r>
            <w:r>
              <w:rPr>
                <w:rFonts w:ascii="Times New Roman" w:hAnsi="Times New Roman" w:cs="Arial Unicode MS"/>
                <w:sz w:val="21"/>
                <w:szCs w:val="21"/>
              </w:rPr>
              <w:t>60</w:t>
            </w:r>
            <w:r>
              <w:rPr>
                <w:rFonts w:hint="eastAsia" w:ascii="Times New Roman" w:hAnsi="Times New Roman" w:cs="Arial Unicode MS"/>
                <w:sz w:val="21"/>
                <w:szCs w:val="21"/>
              </w:rPr>
              <w:t>（下层广场）</w:t>
            </w:r>
          </w:p>
        </w:tc>
      </w:tr>
      <w:tr>
        <w:tblPrEx>
          <w:tblCellMar>
            <w:top w:w="0" w:type="dxa"/>
            <w:left w:w="108" w:type="dxa"/>
            <w:bottom w:w="0" w:type="dxa"/>
            <w:right w:w="108" w:type="dxa"/>
          </w:tblCellMar>
        </w:tblPrEx>
        <w:trPr>
          <w:trHeight w:val="113" w:hRule="atLeast"/>
        </w:trPr>
        <w:tc>
          <w:tcPr>
            <w:tcW w:w="615" w:type="pct"/>
            <w:tcBorders>
              <w:top w:val="nil"/>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工业园区</w:t>
            </w: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20</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300</w:t>
            </w:r>
            <w:r>
              <w:rPr>
                <w:rFonts w:hint="eastAsia" w:ascii="Times New Roman" w:hAnsi="Times New Roman" w:cs="Arial Unicode MS"/>
                <w:sz w:val="21"/>
                <w:szCs w:val="21"/>
              </w:rPr>
              <w:t>～</w:t>
            </w:r>
            <w:r>
              <w:rPr>
                <w:rFonts w:ascii="Times New Roman" w:hAnsi="Times New Roman" w:cs="Arial Unicode MS"/>
                <w:sz w:val="21"/>
                <w:szCs w:val="21"/>
              </w:rPr>
              <w:t>450</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150</w:t>
            </w:r>
            <w:r>
              <w:rPr>
                <w:rFonts w:hint="eastAsia" w:ascii="Times New Roman" w:hAnsi="Times New Roman" w:cs="Arial Unicode MS"/>
                <w:sz w:val="21"/>
                <w:szCs w:val="21"/>
              </w:rPr>
              <w:t>～</w:t>
            </w:r>
            <w:r>
              <w:rPr>
                <w:rFonts w:ascii="Times New Roman" w:hAnsi="Times New Roman" w:cs="Arial Unicode MS"/>
                <w:sz w:val="21"/>
                <w:szCs w:val="21"/>
              </w:rPr>
              <w:t>200</w:t>
            </w:r>
          </w:p>
        </w:tc>
      </w:tr>
      <w:tr>
        <w:tblPrEx>
          <w:tblCellMar>
            <w:top w:w="0" w:type="dxa"/>
            <w:left w:w="108" w:type="dxa"/>
            <w:bottom w:w="0" w:type="dxa"/>
            <w:right w:w="108" w:type="dxa"/>
          </w:tblCellMar>
        </w:tblPrEx>
        <w:trPr>
          <w:trHeight w:val="113" w:hRule="atLeast"/>
        </w:trPr>
        <w:tc>
          <w:tcPr>
            <w:tcW w:w="615" w:type="pct"/>
            <w:tcBorders>
              <w:top w:val="nil"/>
              <w:left w:val="single" w:color="auto" w:sz="4" w:space="0"/>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hint="eastAsia" w:ascii="Times New Roman" w:hAnsi="Times New Roman" w:cs="Arial Unicode MS"/>
                <w:sz w:val="21"/>
                <w:szCs w:val="21"/>
              </w:rPr>
              <w:t>景区</w:t>
            </w:r>
          </w:p>
        </w:tc>
        <w:tc>
          <w:tcPr>
            <w:tcW w:w="61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20</w:t>
            </w:r>
          </w:p>
        </w:tc>
        <w:tc>
          <w:tcPr>
            <w:tcW w:w="196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300</w:t>
            </w:r>
          </w:p>
        </w:tc>
        <w:tc>
          <w:tcPr>
            <w:tcW w:w="1805" w:type="pct"/>
            <w:tcBorders>
              <w:top w:val="nil"/>
              <w:left w:val="nil"/>
              <w:bottom w:val="single" w:color="auto" w:sz="4" w:space="0"/>
              <w:right w:val="single" w:color="auto" w:sz="4" w:space="0"/>
            </w:tcBorders>
            <w:noWrap/>
            <w:vAlign w:val="center"/>
          </w:tcPr>
          <w:p>
            <w:pPr>
              <w:widowControl w:val="0"/>
              <w:jc w:val="both"/>
              <w:rPr>
                <w:rFonts w:ascii="Times New Roman" w:hAnsi="Times New Roman" w:cs="Arial Unicode MS"/>
                <w:sz w:val="21"/>
                <w:szCs w:val="21"/>
              </w:rPr>
            </w:pPr>
            <w:r>
              <w:rPr>
                <w:rFonts w:ascii="Times New Roman" w:hAnsi="Times New Roman" w:cs="Arial Unicode MS"/>
                <w:sz w:val="21"/>
                <w:szCs w:val="21"/>
              </w:rPr>
              <w:t>150</w:t>
            </w:r>
          </w:p>
        </w:tc>
      </w:tr>
    </w:tbl>
    <w:p>
      <w:pPr>
        <w:widowControl w:val="0"/>
        <w:spacing w:line="360" w:lineRule="auto"/>
        <w:jc w:val="both"/>
        <w:rPr>
          <w:rFonts w:ascii="Times New Roman" w:hAnsi="Times New Roman" w:cs="Times New Roman"/>
          <w:kern w:val="2"/>
        </w:rPr>
      </w:pPr>
    </w:p>
    <w:p>
      <w:pPr>
        <w:pStyle w:val="6"/>
      </w:pPr>
      <w:bookmarkStart w:id="188" w:name="_Toc533523768"/>
      <w:bookmarkStart w:id="189" w:name="_Toc2069015"/>
      <w:r>
        <w:rPr>
          <w:rFonts w:hint="eastAsia"/>
        </w:rPr>
        <w:t>规划建议</w:t>
      </w:r>
      <w:bookmarkEnd w:id="188"/>
      <w:bookmarkEnd w:id="189"/>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通过上述分析可以看出，微基站在底层居民区、一般道路、别墅区等场景可以提供较好的网络覆盖效果。微基站规划建议如下。</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）在宏基站站址选择困难的场景，建议通过微基站的方式建设；</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）在人流密集区域，建议建设微基站来补充覆盖及吸收话务；</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）微基站的建设需结合周边环境，尽可能景观化建设；</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w:t>
      </w:r>
      <w:r>
        <w:rPr>
          <w:rFonts w:hint="eastAsia" w:ascii="Times New Roman" w:hAnsi="Times New Roman" w:cs="Times New Roman"/>
          <w:kern w:val="2"/>
        </w:rPr>
        <w:t>）在市政道路上建设微基站时，建议结合其他市政设施建设，例如灯杆、电力杆、监控杆、井盖、垃圾桶等；</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5</w:t>
      </w:r>
      <w:r>
        <w:rPr>
          <w:rFonts w:hint="eastAsia" w:ascii="Times New Roman" w:hAnsi="Times New Roman" w:cs="Times New Roman"/>
          <w:kern w:val="2"/>
        </w:rPr>
        <w:t>）其他区域建设微基站时，也可结合建筑外墙、小区绿化及周边其他设施等景观化建设；</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6</w:t>
      </w:r>
      <w:r>
        <w:rPr>
          <w:rFonts w:hint="eastAsia" w:ascii="Times New Roman" w:hAnsi="Times New Roman" w:cs="Times New Roman"/>
          <w:kern w:val="2"/>
        </w:rPr>
        <w:t>）市政道路范围内所有灯杆相对应的管道、供电、基础等需具备微基站安装条件。</w:t>
      </w:r>
    </w:p>
    <w:p>
      <w:pPr>
        <w:widowControl w:val="0"/>
        <w:spacing w:line="360" w:lineRule="auto"/>
        <w:jc w:val="both"/>
        <w:rPr>
          <w:rFonts w:ascii="Times New Roman" w:hAnsi="Times New Roman" w:cs="Times New Roman"/>
          <w:kern w:val="2"/>
        </w:rPr>
      </w:pPr>
      <w:r>
        <w:rPr>
          <w:rFonts w:ascii="Times New Roman" w:hAnsi="Times New Roman" w:cs="Times New Roman"/>
          <w:kern w:val="2"/>
        </w:rPr>
        <w:pict>
          <v:shape id="_x0000_i1035" o:spt="75" type="#_x0000_t75" style="height:185.25pt;width:465pt;" filled="f" o:preferrelative="t" stroked="f" coordsize="21600,21600">
            <v:path/>
            <v:fill on="f" focussize="0,0"/>
            <v:stroke on="f" joinstyle="miter"/>
            <v:imagedata r:id="rId25" o:title=""/>
            <o:lock v:ext="edit" aspectratio="t"/>
            <w10:wrap type="none"/>
            <w10:anchorlock/>
          </v:shape>
        </w:pict>
      </w:r>
    </w:p>
    <w:p>
      <w:pPr>
        <w:pStyle w:val="8"/>
        <w:spacing w:before="48" w:after="48"/>
      </w:pPr>
      <w:r>
        <w:rPr>
          <w:rFonts w:hint="eastAsia"/>
        </w:rPr>
        <w:t>图</w:t>
      </w:r>
      <w:r>
        <w:t xml:space="preserve">6-7 </w:t>
      </w:r>
      <w:r>
        <w:rPr>
          <w:rFonts w:hint="eastAsia"/>
        </w:rPr>
        <w:t>微基站景观化建设示例</w:t>
      </w:r>
    </w:p>
    <w:p>
      <w:pPr>
        <w:pStyle w:val="5"/>
      </w:pPr>
      <w:bookmarkStart w:id="190" w:name="_Toc56092785"/>
      <w:r>
        <w:rPr>
          <w:rFonts w:hint="eastAsia"/>
        </w:rPr>
        <w:t>基站集约化建设规划</w:t>
      </w:r>
      <w:bookmarkEnd w:id="187"/>
      <w:bookmarkEnd w:id="190"/>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移动通信基站的</w:t>
      </w:r>
      <w:r>
        <w:rPr>
          <w:rFonts w:ascii="Times New Roman" w:hAnsi="Times New Roman" w:cs="Times New Roman"/>
          <w:kern w:val="2"/>
        </w:rPr>
        <w:t>“</w:t>
      </w:r>
      <w:r>
        <w:rPr>
          <w:rFonts w:hint="eastAsia" w:ascii="Times New Roman" w:hAnsi="Times New Roman" w:cs="Times New Roman"/>
          <w:kern w:val="2"/>
        </w:rPr>
        <w:t>集约化</w:t>
      </w:r>
      <w:r>
        <w:rPr>
          <w:rFonts w:ascii="Times New Roman" w:hAnsi="Times New Roman" w:cs="Times New Roman"/>
          <w:kern w:val="2"/>
        </w:rPr>
        <w:t>”</w:t>
      </w:r>
      <w:r>
        <w:rPr>
          <w:rFonts w:hint="eastAsia" w:ascii="Times New Roman" w:hAnsi="Times New Roman" w:cs="Times New Roman"/>
          <w:kern w:val="2"/>
        </w:rPr>
        <w:t>建设，是一种充分利用现有基站设备资源，对站址等稀有资源进行最大化利用，减少重复建设，避免资源垄断的最有效的建设策略。故</w:t>
      </w:r>
      <w:r>
        <w:rPr>
          <w:rFonts w:ascii="Times New Roman" w:hAnsi="Times New Roman" w:cs="Times New Roman"/>
          <w:kern w:val="2"/>
        </w:rPr>
        <w:t>“</w:t>
      </w:r>
      <w:r>
        <w:rPr>
          <w:rFonts w:hint="eastAsia" w:ascii="Times New Roman" w:hAnsi="Times New Roman" w:cs="Times New Roman"/>
          <w:kern w:val="2"/>
        </w:rPr>
        <w:t>集约化</w:t>
      </w:r>
      <w:r>
        <w:rPr>
          <w:rFonts w:ascii="Times New Roman" w:hAnsi="Times New Roman" w:cs="Times New Roman"/>
          <w:kern w:val="2"/>
        </w:rPr>
        <w:t>”</w:t>
      </w:r>
      <w:r>
        <w:rPr>
          <w:rFonts w:hint="eastAsia" w:ascii="Times New Roman" w:hAnsi="Times New Roman" w:cs="Times New Roman"/>
          <w:kern w:val="2"/>
        </w:rPr>
        <w:t>的基站建设包括了基站共建和对现有资源共用两个方面的内容。具体就是一个地区的移动通信基站建设，在相关部门的主导下，充分利用现有</w:t>
      </w:r>
      <w:r>
        <w:rPr>
          <w:rFonts w:ascii="Times New Roman" w:hAnsi="Times New Roman" w:cs="Times New Roman"/>
          <w:kern w:val="2"/>
        </w:rPr>
        <w:t>(</w:t>
      </w:r>
      <w:r>
        <w:rPr>
          <w:rFonts w:hint="eastAsia" w:ascii="Times New Roman" w:hAnsi="Times New Roman" w:cs="Times New Roman"/>
          <w:kern w:val="2"/>
        </w:rPr>
        <w:t>或统一新增</w:t>
      </w:r>
      <w:r>
        <w:rPr>
          <w:rFonts w:ascii="Times New Roman" w:hAnsi="Times New Roman" w:cs="Times New Roman"/>
          <w:kern w:val="2"/>
        </w:rPr>
        <w:t>)</w:t>
      </w:r>
      <w:r>
        <w:rPr>
          <w:rFonts w:hint="eastAsia" w:ascii="Times New Roman" w:hAnsi="Times New Roman" w:cs="Times New Roman"/>
          <w:kern w:val="2"/>
        </w:rPr>
        <w:t>的基站站址、基站的公共设施，为多个移动运营公司共用，以减少基站重复建设。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获取到通信运营商近年的整体规划需求后，将规划新增站点与存量现网站点进行匹配，原则上尽量利用现有存量站点进行共建，对于周边没有合适的存量站点的才允许新建，并且保证新建站点有提供给其它运营商将来共享的潜力。</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具体集约化建设要求如下：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）密集市区：根据选址原则可得出，新建站点与现网站点距离</w:t>
      </w:r>
      <w:r>
        <w:rPr>
          <w:rFonts w:ascii="Times New Roman" w:hAnsi="Times New Roman" w:cs="Times New Roman"/>
          <w:kern w:val="2"/>
        </w:rPr>
        <w:t>150</w:t>
      </w:r>
      <w:r>
        <w:rPr>
          <w:rFonts w:hint="eastAsia" w:ascii="Times New Roman" w:hAnsi="Times New Roman" w:cs="Times New Roman"/>
          <w:kern w:val="2"/>
        </w:rPr>
        <w:t>米以内，共站现网建设，超过</w:t>
      </w:r>
      <w:r>
        <w:rPr>
          <w:rFonts w:ascii="Times New Roman" w:hAnsi="Times New Roman" w:cs="Times New Roman"/>
          <w:kern w:val="2"/>
        </w:rPr>
        <w:t>200</w:t>
      </w:r>
      <w:r>
        <w:rPr>
          <w:rFonts w:hint="eastAsia" w:ascii="Times New Roman" w:hAnsi="Times New Roman" w:cs="Times New Roman"/>
          <w:kern w:val="2"/>
        </w:rPr>
        <w:t>米重新规划新站点；</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color w:val="000000"/>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）规划新站点时规避一些特殊区域，现网站点落在建设后特殊区域的，就近在周边另寻合适站址建设。特殊区域指建成为幼儿园、小学、养老院、文物保护单位、高压变电站</w:t>
      </w:r>
      <w:r>
        <w:rPr>
          <w:rFonts w:hint="eastAsia" w:ascii="Times New Roman" w:hAnsi="Times New Roman" w:cs="Times New Roman"/>
          <w:color w:val="000000"/>
          <w:kern w:val="2"/>
        </w:rPr>
        <w:t>、军事敏感区域、加油站等。</w:t>
      </w:r>
    </w:p>
    <w:p>
      <w:pPr>
        <w:pStyle w:val="5"/>
      </w:pPr>
      <w:bookmarkStart w:id="191" w:name="_Toc56092786"/>
      <w:r>
        <w:rPr>
          <w:rFonts w:hint="eastAsia"/>
        </w:rPr>
        <w:t>基站建设管理实施措施</w:t>
      </w:r>
      <w:bookmarkEnd w:id="191"/>
    </w:p>
    <w:p>
      <w:pPr>
        <w:widowControl w:val="0"/>
        <w:snapToGrid w:val="0"/>
        <w:spacing w:line="360" w:lineRule="auto"/>
        <w:ind w:firstLine="480" w:firstLineChars="200"/>
        <w:contextualSpacing/>
        <w:jc w:val="both"/>
        <w:rPr>
          <w:rFonts w:ascii="Times New Roman" w:hAnsi="Times New Roman" w:cs="Times New Roman"/>
          <w:kern w:val="2"/>
        </w:rPr>
      </w:pPr>
      <w:bookmarkStart w:id="192" w:name="_Toc371592357"/>
      <w:r>
        <w:rPr>
          <w:rFonts w:hint="eastAsia" w:ascii="Times New Roman" w:hAnsi="Times New Roman" w:cs="Times New Roman"/>
          <w:kern w:val="2"/>
        </w:rPr>
        <w:t>加强宣传提高对移动通信的认识</w:t>
      </w:r>
      <w:bookmarkEnd w:id="192"/>
      <w:r>
        <w:rPr>
          <w:rFonts w:hint="eastAsia" w:ascii="Times New Roman" w:hAnsi="Times New Roman" w:cs="Times New Roman"/>
          <w:kern w:val="2"/>
        </w:rPr>
        <w:t>，各机关、事业单位和国有企业要充分认识移动通信是区经济发展和社会进步的重要基础设施，关系突发事件抢险救灾的应急通信保障，应从构建和谐社会的大局出发，正确认识、科学对待基站使用与电磁环境保护的关系，积极配合做好移动通信基站建设工作。</w:t>
      </w:r>
    </w:p>
    <w:p>
      <w:pPr>
        <w:pStyle w:val="5"/>
      </w:pPr>
      <w:bookmarkStart w:id="193" w:name="_Toc56092787"/>
      <w:r>
        <w:rPr>
          <w:rFonts w:hint="eastAsia"/>
        </w:rPr>
        <w:t>城市美化基站、机房建设</w:t>
      </w:r>
      <w:bookmarkEnd w:id="193"/>
    </w:p>
    <w:p>
      <w:pPr>
        <w:pStyle w:val="6"/>
        <w:numPr>
          <w:ilvl w:val="0"/>
          <w:numId w:val="44"/>
        </w:numPr>
      </w:pPr>
      <w:r>
        <w:rPr>
          <w:rFonts w:hint="eastAsia"/>
        </w:rPr>
        <w:t>美化方案原则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本规划对新建铁塔、机房、天线等均考虑采用美化方案，提高基站与环境融合度。但在制定具体个体基站的美化方案时，应遵循以下原则：</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w:t>
      </w:r>
      <w:r>
        <w:rPr>
          <w:rFonts w:hint="eastAsia" w:ascii="Times New Roman" w:hAnsi="Times New Roman" w:cs="Times New Roman"/>
          <w:kern w:val="2"/>
        </w:rPr>
        <w:t>和谐性原则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新建基站应提高与周围环境、建筑物、人文景观、城市天际线等和谐度，不影响城市美观，不引起人们反感，从造型、色彩等方面融入环境，并可适当提高整体景观。</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w:t>
      </w:r>
      <w:r>
        <w:rPr>
          <w:rFonts w:hint="eastAsia" w:ascii="Times New Roman" w:hAnsi="Times New Roman" w:cs="Times New Roman"/>
          <w:kern w:val="2"/>
        </w:rPr>
        <w:t>合法性原则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基站的建设应符合政府规划要求和相关法律法规的要求，包括占地要求和业主同意等。</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w:t>
      </w:r>
      <w:r>
        <w:rPr>
          <w:rFonts w:hint="eastAsia" w:ascii="Times New Roman" w:hAnsi="Times New Roman" w:cs="Times New Roman"/>
          <w:kern w:val="2"/>
        </w:rPr>
        <w:t>安全性原则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美化铁塔、天线、机房应符合相关安全要求，包括电磁辐射、铁塔、房屋建筑安全等。同时要求美化材料应经久耐用，耐高温和耐腐蚀，使用寿命不少于</w:t>
      </w:r>
      <w:r>
        <w:rPr>
          <w:rFonts w:ascii="Times New Roman" w:hAnsi="Times New Roman" w:cs="Times New Roman"/>
          <w:kern w:val="2"/>
        </w:rPr>
        <w:t>10</w:t>
      </w:r>
      <w:r>
        <w:rPr>
          <w:rFonts w:hint="eastAsia" w:ascii="Times New Roman" w:hAnsi="Times New Roman" w:cs="Times New Roman"/>
          <w:kern w:val="2"/>
        </w:rPr>
        <w:t>年</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(4)</w:t>
      </w:r>
      <w:r>
        <w:rPr>
          <w:rFonts w:hint="eastAsia" w:ascii="Times New Roman" w:hAnsi="Times New Roman" w:cs="Times New Roman"/>
          <w:kern w:val="2"/>
        </w:rPr>
        <w:t>技术可行性原则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在进行天线美化时，首先必须满足无线覆盖的要求，无线信号衰减尽量低，美化天线的结构对天线调整后的发射性能应没有影响，在天线安装位置垂直面的正前方不能有金属阻挡。天线有时需要调整下倾角和方位角以及进行维护等，馈线需要增加，天馈线美化方案需要考虑天馈线的维护和扩容的方便性。</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另外，由于新建基站采用美化造型、特异性造型等技术手段以及多运营商共址共享建设基站的方式，在制定具体方案时应考虑技术可行性，确保基站建设方案切实可行，并能满足各运营商技术要求。</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w:t>
      </w:r>
      <w:r>
        <w:rPr>
          <w:rFonts w:hint="eastAsia" w:ascii="Times New Roman" w:hAnsi="Times New Roman" w:cs="Times New Roman"/>
          <w:kern w:val="2"/>
        </w:rPr>
        <w:t>经济性原则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由于新建基站均采用美化方式建设，单纯从基站建设角度考虑，建设成本是要高于普通基站建设的。因此，要合理选择美化方式，考虑经济效益，不应单纯追求美化造成资源浪费。</w:t>
      </w:r>
    </w:p>
    <w:p>
      <w:pPr>
        <w:pStyle w:val="6"/>
      </w:pPr>
      <w:r>
        <w:rPr>
          <w:rFonts w:hint="eastAsia"/>
        </w:rPr>
        <w:t>美化铁塔</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目前通信行业应用美化通信塔非常普遍。美化塔有与传统铁塔相比，有如下特点：</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w:t>
      </w:r>
      <w:r>
        <w:rPr>
          <w:rFonts w:hint="eastAsia" w:ascii="Times New Roman" w:hAnsi="Times New Roman" w:cs="Times New Roman"/>
          <w:kern w:val="2"/>
        </w:rPr>
        <w:t>外形美观，适应城市环境美化建设</w:t>
      </w:r>
      <w:r>
        <w:rPr>
          <w:rFonts w:ascii="Times New Roman" w:hAnsi="Times New Roman" w:cs="Times New Roman"/>
          <w:kern w:val="2"/>
        </w:rPr>
        <w:t>——</w:t>
      </w:r>
      <w:r>
        <w:rPr>
          <w:rFonts w:hint="eastAsia" w:ascii="Times New Roman" w:hAnsi="Times New Roman" w:cs="Times New Roman"/>
          <w:kern w:val="2"/>
        </w:rPr>
        <w:t>美化通信塔</w:t>
      </w:r>
      <w:r>
        <w:rPr>
          <w:rFonts w:ascii="Times New Roman" w:hAnsi="Times New Roman" w:cs="Times New Roman"/>
          <w:kern w:val="2"/>
        </w:rPr>
        <w:t>,</w:t>
      </w:r>
      <w:r>
        <w:rPr>
          <w:rFonts w:hint="eastAsia" w:ascii="Times New Roman" w:hAnsi="Times New Roman" w:cs="Times New Roman"/>
          <w:kern w:val="2"/>
        </w:rPr>
        <w:t>从其外型上可以很好的融入所建站区域的现场环境，如美化成城市路政的路灯杆、高杆灯，或美化为高大的灌木植物</w:t>
      </w:r>
      <w:r>
        <w:rPr>
          <w:rFonts w:ascii="Times New Roman" w:hAnsi="Times New Roman" w:cs="Times New Roman"/>
          <w:kern w:val="2"/>
        </w:rPr>
        <w:t>(</w:t>
      </w:r>
      <w:r>
        <w:rPr>
          <w:rFonts w:hint="eastAsia" w:ascii="Times New Roman" w:hAnsi="Times New Roman" w:cs="Times New Roman"/>
          <w:kern w:val="2"/>
        </w:rPr>
        <w:t>树</w:t>
      </w:r>
      <w:r>
        <w:rPr>
          <w:rFonts w:ascii="Times New Roman" w:hAnsi="Times New Roman" w:cs="Times New Roman"/>
          <w:kern w:val="2"/>
        </w:rPr>
        <w:t>)</w:t>
      </w:r>
      <w:r>
        <w:rPr>
          <w:rFonts w:hint="eastAsia" w:ascii="Times New Roman" w:hAnsi="Times New Roman" w:cs="Times New Roman"/>
          <w:kern w:val="2"/>
        </w:rPr>
        <w:t>等。这样的形式改善不但不破坏城市的基本景观，还可以将业务天线或一些设备隐藏，避免了城市建设的</w:t>
      </w:r>
      <w:r>
        <w:rPr>
          <w:rFonts w:ascii="Times New Roman" w:hAnsi="Times New Roman" w:cs="Times New Roman"/>
          <w:kern w:val="2"/>
        </w:rPr>
        <w:t>“</w:t>
      </w:r>
      <w:r>
        <w:rPr>
          <w:rFonts w:hint="eastAsia" w:ascii="Times New Roman" w:hAnsi="Times New Roman" w:cs="Times New Roman"/>
          <w:kern w:val="2"/>
        </w:rPr>
        <w:t>视觉冲击反感</w:t>
      </w:r>
      <w:r>
        <w:rPr>
          <w:rFonts w:ascii="Times New Roman" w:hAnsi="Times New Roman" w:cs="Times New Roman"/>
          <w:kern w:val="2"/>
        </w:rPr>
        <w:t>”</w:t>
      </w:r>
      <w:r>
        <w:rPr>
          <w:rFonts w:hint="eastAsia" w:ascii="Times New Roman" w:hAnsi="Times New Roman" w:cs="Times New Roman"/>
          <w:kern w:val="2"/>
        </w:rP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w:t>
      </w:r>
      <w:r>
        <w:rPr>
          <w:rFonts w:hint="eastAsia" w:ascii="Times New Roman" w:hAnsi="Times New Roman" w:cs="Times New Roman"/>
          <w:kern w:val="2"/>
        </w:rPr>
        <w:t>建设速度快捷</w:t>
      </w:r>
      <w:r>
        <w:rPr>
          <w:rFonts w:ascii="Times New Roman" w:hAnsi="Times New Roman" w:cs="Times New Roman"/>
          <w:kern w:val="2"/>
        </w:rPr>
        <w:t>——</w:t>
      </w:r>
      <w:r>
        <w:rPr>
          <w:rFonts w:hint="eastAsia" w:ascii="Times New Roman" w:hAnsi="Times New Roman" w:cs="Times New Roman"/>
          <w:kern w:val="2"/>
        </w:rPr>
        <w:t>传统式通信角钢塔、拉线塔因平台迎风面大，铁塔基础占地面积大，施工周期长，施工作业面大，而在城区往往场地狭载，现场条件并不完全满足施工条件，美化通信塔适应客观环境，充分考虑施工条件，极大地克服了传统通信塔的一些缺点。</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w:t>
      </w:r>
      <w:r>
        <w:rPr>
          <w:rFonts w:hint="eastAsia" w:ascii="Times New Roman" w:hAnsi="Times New Roman" w:cs="Times New Roman"/>
          <w:kern w:val="2"/>
        </w:rPr>
        <w:t>使用安全</w:t>
      </w:r>
      <w:r>
        <w:rPr>
          <w:rFonts w:ascii="Times New Roman" w:hAnsi="Times New Roman" w:cs="Times New Roman"/>
          <w:kern w:val="2"/>
        </w:rPr>
        <w:t>——</w:t>
      </w:r>
      <w:r>
        <w:rPr>
          <w:rFonts w:hint="eastAsia" w:ascii="Times New Roman" w:hAnsi="Times New Roman" w:cs="Times New Roman"/>
          <w:kern w:val="2"/>
        </w:rPr>
        <w:t>美化通信塔的建设从地质勘探、塔设计、施工都有专业的单位进行全程跟踪管理，并全程配有质量安全巡查人员。完全能适应各地的气候、环境状况。</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(4)</w:t>
      </w:r>
      <w:r>
        <w:rPr>
          <w:rFonts w:hint="eastAsia" w:ascii="Times New Roman" w:hAnsi="Times New Roman" w:cs="Times New Roman"/>
          <w:kern w:val="2"/>
        </w:rPr>
        <w:t>类型灵活可适应多种需求</w:t>
      </w:r>
      <w:r>
        <w:rPr>
          <w:rFonts w:ascii="Times New Roman" w:hAnsi="Times New Roman" w:cs="Times New Roman"/>
          <w:kern w:val="2"/>
        </w:rPr>
        <w:t>——</w:t>
      </w:r>
      <w:r>
        <w:rPr>
          <w:rFonts w:hint="eastAsia" w:ascii="Times New Roman" w:hAnsi="Times New Roman" w:cs="Times New Roman"/>
          <w:kern w:val="2"/>
        </w:rPr>
        <w:t>美化通信塔可以按照运营商的要求，衍生多种高度</w:t>
      </w:r>
      <w:r>
        <w:rPr>
          <w:rFonts w:ascii="Times New Roman" w:hAnsi="Times New Roman" w:cs="Times New Roman"/>
          <w:kern w:val="2"/>
        </w:rPr>
        <w:t>(8M</w:t>
      </w:r>
      <w:r>
        <w:rPr>
          <w:rFonts w:hint="eastAsia" w:ascii="Times New Roman" w:hAnsi="Times New Roman" w:cs="Times New Roman"/>
          <w:kern w:val="2"/>
        </w:rPr>
        <w:t>、</w:t>
      </w:r>
      <w:r>
        <w:rPr>
          <w:rFonts w:ascii="Times New Roman" w:hAnsi="Times New Roman" w:cs="Times New Roman"/>
          <w:kern w:val="2"/>
        </w:rPr>
        <w:t>15M</w:t>
      </w:r>
      <w:r>
        <w:rPr>
          <w:rFonts w:hint="eastAsia" w:ascii="Times New Roman" w:hAnsi="Times New Roman" w:cs="Times New Roman"/>
          <w:kern w:val="2"/>
        </w:rPr>
        <w:t>、</w:t>
      </w:r>
      <w:r>
        <w:rPr>
          <w:rFonts w:ascii="Times New Roman" w:hAnsi="Times New Roman" w:cs="Times New Roman"/>
          <w:kern w:val="2"/>
        </w:rPr>
        <w:t>20M</w:t>
      </w:r>
      <w:r>
        <w:rPr>
          <w:rFonts w:hint="eastAsia" w:ascii="Times New Roman" w:hAnsi="Times New Roman" w:cs="Times New Roman"/>
          <w:kern w:val="2"/>
        </w:rPr>
        <w:t>、</w:t>
      </w:r>
      <w:r>
        <w:rPr>
          <w:rFonts w:ascii="Times New Roman" w:hAnsi="Times New Roman" w:cs="Times New Roman"/>
          <w:kern w:val="2"/>
        </w:rPr>
        <w:t>25M</w:t>
      </w:r>
      <w:r>
        <w:rPr>
          <w:rFonts w:hint="eastAsia" w:ascii="Times New Roman" w:hAnsi="Times New Roman" w:cs="Times New Roman"/>
          <w:kern w:val="2"/>
        </w:rPr>
        <w:t>、</w:t>
      </w:r>
      <w:r>
        <w:rPr>
          <w:rFonts w:ascii="Times New Roman" w:hAnsi="Times New Roman" w:cs="Times New Roman"/>
          <w:kern w:val="2"/>
        </w:rPr>
        <w:t>30M</w:t>
      </w:r>
      <w:r>
        <w:rPr>
          <w:rFonts w:hint="eastAsia" w:ascii="Times New Roman" w:hAnsi="Times New Roman" w:cs="Times New Roman"/>
          <w:kern w:val="2"/>
        </w:rPr>
        <w:t>、</w:t>
      </w:r>
      <w:r>
        <w:rPr>
          <w:rFonts w:ascii="Times New Roman" w:hAnsi="Times New Roman" w:cs="Times New Roman"/>
          <w:kern w:val="2"/>
        </w:rPr>
        <w:t>35M</w:t>
      </w:r>
      <w:r>
        <w:rPr>
          <w:rFonts w:hint="eastAsia" w:ascii="Times New Roman" w:hAnsi="Times New Roman" w:cs="Times New Roman"/>
          <w:kern w:val="2"/>
        </w:rPr>
        <w:t>、</w:t>
      </w:r>
      <w:r>
        <w:rPr>
          <w:rFonts w:ascii="Times New Roman" w:hAnsi="Times New Roman" w:cs="Times New Roman"/>
          <w:kern w:val="2"/>
        </w:rPr>
        <w:t>40M</w:t>
      </w:r>
      <w:r>
        <w:rPr>
          <w:rFonts w:hint="eastAsia" w:ascii="Times New Roman" w:hAnsi="Times New Roman" w:cs="Times New Roman"/>
          <w:kern w:val="2"/>
        </w:rPr>
        <w:t>、异型高度</w:t>
      </w:r>
      <w:r>
        <w:rPr>
          <w:rFonts w:ascii="Times New Roman" w:hAnsi="Times New Roman" w:cs="Times New Roman"/>
          <w:kern w:val="2"/>
        </w:rPr>
        <w:t>)</w:t>
      </w:r>
      <w:r>
        <w:rPr>
          <w:rFonts w:hint="eastAsia" w:ascii="Times New Roman" w:hAnsi="Times New Roman" w:cs="Times New Roman"/>
          <w:kern w:val="2"/>
        </w:rPr>
        <w:t>和类型的美化方案，最大程度上来满足建设需求。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美化通讯塔，包括美化灯杆通信塔系列、仿生通信塔系列、景观通信塔系列等。</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材料主材一般选用钢管、不锈钢、角钢，表面镀锌</w:t>
      </w:r>
      <w:r>
        <w:rPr>
          <w:rFonts w:ascii="Times New Roman" w:hAnsi="Times New Roman" w:cs="Times New Roman"/>
          <w:kern w:val="2"/>
        </w:rPr>
        <w:t>/</w:t>
      </w:r>
      <w:r>
        <w:rPr>
          <w:rFonts w:hint="eastAsia" w:ascii="Times New Roman" w:hAnsi="Times New Roman" w:cs="Times New Roman"/>
          <w:kern w:val="2"/>
        </w:rPr>
        <w:t>喷塑处理、辅以玻璃钢、高级复合型材料美化塔体造型，可安装多付天线。</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由于美化通信塔具有占地面积小，有景观、仿生、灯饰美化效果等优势，同时具有安装灵活、天线隐蔽性好、实用性高等特点，多用在城市城区、旅游风景区、大型场馆广场的通信信号覆盖。特别适用于学校园区、公园内、广场绿地、街道和交通主干道两侧。</w:t>
      </w:r>
    </w:p>
    <w:p>
      <w:pPr>
        <w:pStyle w:val="6"/>
      </w:pPr>
      <w:r>
        <w:rPr>
          <w:rFonts w:hint="eastAsia"/>
        </w:rPr>
        <w:t>美化灯杆通信塔系列</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美化灯杆通信塔系列，包括美化单管通信塔，高杆塔以及各种仿灯杆通信塔。</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材料选用不锈钢或玻璃钢美化杆造型，隐藏材料选用复合材料仿制灯体造型，一般可安装天线数较少，下部为杆通信塔钢结构支撑，表面镀锌</w:t>
      </w:r>
      <w:r>
        <w:rPr>
          <w:rFonts w:ascii="Times New Roman" w:hAnsi="Times New Roman" w:cs="Times New Roman"/>
          <w:kern w:val="2"/>
        </w:rPr>
        <w:t>/</w:t>
      </w:r>
      <w:r>
        <w:rPr>
          <w:rFonts w:hint="eastAsia" w:ascii="Times New Roman" w:hAnsi="Times New Roman" w:cs="Times New Roman"/>
          <w:kern w:val="2"/>
        </w:rPr>
        <w:t>喷塑处理。具有安装灵活、天线隐蔽性好、实用性高等众多特点。特别适用于学校园区、公园内、广场绿地、街道和交通主干道两侧。灯杆高度一般有</w:t>
      </w:r>
      <w:r>
        <w:rPr>
          <w:rFonts w:ascii="Times New Roman" w:hAnsi="Times New Roman" w:cs="Times New Roman"/>
          <w:kern w:val="2"/>
        </w:rPr>
        <w:t>8</w:t>
      </w:r>
      <w:r>
        <w:rPr>
          <w:rFonts w:hint="eastAsia" w:ascii="Times New Roman" w:hAnsi="Times New Roman" w:cs="Times New Roman"/>
          <w:kern w:val="2"/>
        </w:rPr>
        <w:t>米</w:t>
      </w:r>
      <w:r>
        <w:rPr>
          <w:rFonts w:ascii="Times New Roman" w:hAnsi="Times New Roman" w:cs="Times New Roman"/>
          <w:kern w:val="2"/>
        </w:rPr>
        <w:t>-15</w:t>
      </w:r>
      <w:r>
        <w:rPr>
          <w:rFonts w:hint="eastAsia" w:ascii="Times New Roman" w:hAnsi="Times New Roman" w:cs="Times New Roman"/>
          <w:kern w:val="2"/>
        </w:rPr>
        <w:t>米，</w:t>
      </w:r>
      <w:r>
        <w:rPr>
          <w:rFonts w:ascii="Times New Roman" w:hAnsi="Times New Roman" w:cs="Times New Roman"/>
          <w:kern w:val="2"/>
        </w:rPr>
        <w:t>20</w:t>
      </w:r>
      <w:r>
        <w:rPr>
          <w:rFonts w:hint="eastAsia" w:ascii="Times New Roman" w:hAnsi="Times New Roman" w:cs="Times New Roman"/>
          <w:kern w:val="2"/>
        </w:rPr>
        <w:t>米</w:t>
      </w:r>
      <w:r>
        <w:rPr>
          <w:rFonts w:ascii="Times New Roman" w:hAnsi="Times New Roman" w:cs="Times New Roman"/>
          <w:kern w:val="2"/>
        </w:rPr>
        <w:t>-50</w:t>
      </w:r>
      <w:r>
        <w:rPr>
          <w:rFonts w:hint="eastAsia" w:ascii="Times New Roman" w:hAnsi="Times New Roman" w:cs="Times New Roman"/>
          <w:kern w:val="2"/>
        </w:rPr>
        <w:t>米各种规格。图片示例如下：</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36" o:spt="75" alt="灯塔7" type="#_x0000_t75" style="height:155.25pt;width:112.5pt;" filled="f" o:preferrelative="t" stroked="f" coordsize="21600,21600">
            <v:path/>
            <v:fill on="f" focussize="0,0"/>
            <v:stroke on="f" joinstyle="miter"/>
            <v:imagedata r:id="rId26" cropleft="3699f" croptop="2887f" cropright="4340f" cropbottom="3039f" o:title=""/>
            <o:lock v:ext="edit" aspectratio="t"/>
            <w10:wrap type="none"/>
            <w10:anchorlock/>
          </v:shape>
        </w:pict>
      </w:r>
      <w:r>
        <w:rPr>
          <w:rFonts w:ascii="Times New Roman" w:hAnsi="Times New Roman" w:cs="Times New Roman"/>
          <w:kern w:val="2"/>
        </w:rPr>
        <w:pict>
          <v:shape id="_x0000_i1037" o:spt="75" alt="道路灯" type="#_x0000_t75" style="height:156pt;width:113.25pt;" filled="f" o:preferrelative="t" stroked="f" coordsize="21600,21600">
            <v:path/>
            <v:fill on="f" focussize="0,0"/>
            <v:stroke on="f" joinstyle="miter"/>
            <v:imagedata r:id="rId27" o:title=""/>
            <o:lock v:ext="edit" aspectratio="t"/>
            <w10:wrap type="none"/>
            <w10:anchorlock/>
          </v:shape>
        </w:pict>
      </w:r>
      <w:r>
        <w:rPr>
          <w:rFonts w:ascii="Times New Roman" w:hAnsi="Times New Roman" w:cs="Times New Roman"/>
          <w:kern w:val="2"/>
        </w:rPr>
        <w:pict>
          <v:shape id="_x0000_i1038" o:spt="75" alt="景观灯不锈钢1" type="#_x0000_t75" style="height:156pt;width:113.25pt;" filled="f" o:preferrelative="t" stroked="f" coordsize="21600,21600">
            <v:path/>
            <v:fill on="f" focussize="0,0"/>
            <v:stroke on="f" joinstyle="miter"/>
            <v:imagedata r:id="rId28" o:title=""/>
            <o:lock v:ext="edit" aspectratio="t"/>
            <w10:wrap type="none"/>
            <w10:anchorlock/>
          </v:shape>
        </w:pict>
      </w:r>
      <w:r>
        <w:rPr>
          <w:rFonts w:ascii="Times New Roman" w:hAnsi="Times New Roman" w:cs="Times New Roman"/>
          <w:kern w:val="2"/>
        </w:rPr>
        <w:pict>
          <v:shape id="_x0000_i1039" o:spt="75" alt="灯杆通信塔2" type="#_x0000_t75" style="height:153.75pt;width:112.5pt;" filled="f" o:preferrelative="t" stroked="f" coordsize="21600,21600">
            <v:path/>
            <v:fill on="f" focussize="0,0"/>
            <v:stroke on="f" joinstyle="miter"/>
            <v:imagedata r:id="rId29" o:title=""/>
            <o:lock v:ext="edit" aspectratio="t"/>
            <w10:wrap type="none"/>
            <w10:anchorlock/>
          </v:shape>
        </w:pict>
      </w:r>
      <w:r>
        <w:rPr>
          <w:rFonts w:ascii="Times New Roman" w:hAnsi="Times New Roman" w:cs="Times New Roman"/>
          <w:kern w:val="2"/>
        </w:rPr>
        <w:pict>
          <v:shape id="_x0000_i1040" o:spt="75" alt="灯盘型景观化单管塔" type="#_x0000_t75" style="height:156pt;width:113.25pt;" filled="f" o:preferrelative="t" stroked="f" coordsize="21600,21600">
            <v:path/>
            <v:fill on="f" focussize="0,0"/>
            <v:stroke on="f" joinstyle="miter"/>
            <v:imagedata r:id="rId30" o:title=""/>
            <o:lock v:ext="edit" aspectratio="t"/>
            <w10:wrap type="none"/>
            <w10:anchorlock/>
          </v:shape>
        </w:pict>
      </w:r>
      <w:r>
        <w:rPr>
          <w:rFonts w:ascii="Times New Roman" w:hAnsi="Times New Roman" w:cs="Times New Roman"/>
          <w:kern w:val="2"/>
        </w:rPr>
        <w:pict>
          <v:shape id="_x0000_i1041" o:spt="75" alt="灯杆通信塔9" type="#_x0000_t75" style="height:154.5pt;width:113.25pt;" filled="f" o:preferrelative="t" stroked="f" coordsize="21600,21600">
            <v:path/>
            <v:fill on="f" focussize="0,0"/>
            <v:stroke on="f" joinstyle="miter"/>
            <v:imagedata r:id="rId31" o:title=""/>
            <o:lock v:ext="edit" aspectratio="t"/>
            <w10:wrap type="none"/>
            <w10:anchorlock/>
          </v:shape>
        </w:pict>
      </w:r>
      <w:r>
        <w:rPr>
          <w:rFonts w:ascii="Times New Roman" w:hAnsi="Times New Roman" w:cs="Times New Roman"/>
          <w:kern w:val="2"/>
        </w:rPr>
        <w:pict>
          <v:shape id="_x0000_i1042" o:spt="75" alt="灯杆通信塔3" type="#_x0000_t75" style="height:153.75pt;width:113.25pt;" filled="f" o:preferrelative="t" stroked="f" coordsize="21600,21600">
            <v:path/>
            <v:fill on="f" focussize="0,0"/>
            <v:stroke on="f" joinstyle="miter"/>
            <v:imagedata r:id="rId32" o:title=""/>
            <o:lock v:ext="edit" aspectratio="t"/>
            <w10:wrap type="none"/>
            <w10:anchorlock/>
          </v:shape>
        </w:pict>
      </w:r>
      <w:r>
        <w:rPr>
          <w:rFonts w:ascii="Times New Roman" w:hAnsi="Times New Roman" w:cs="Times New Roman"/>
          <w:kern w:val="2"/>
        </w:rPr>
        <w:pict>
          <v:shape id="_x0000_i1043" o:spt="75" alt="灯塔2" type="#_x0000_t75" style="height:153.75pt;width:113.25pt;" filled="f" o:preferrelative="t" stroked="f" coordsize="21600,21600">
            <v:path/>
            <v:fill on="f" focussize="0,0"/>
            <v:stroke on="f" joinstyle="miter"/>
            <v:imagedata r:id="rId33" cropleft="4223f" croptop="2374f" cropright="4078f" cropbottom="3039f" o:title=""/>
            <o:lock v:ext="edit" aspectratio="t"/>
            <w10:wrap type="none"/>
            <w10:anchorlock/>
          </v:shape>
        </w:pict>
      </w:r>
    </w:p>
    <w:p>
      <w:pPr>
        <w:jc w:val="center"/>
      </w:pPr>
      <w:r>
        <w:rPr>
          <w:rFonts w:hint="eastAsia"/>
        </w:rPr>
        <w:t>美化灯杆塔示例</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44" o:spt="75" type="#_x0000_t75" style="height:210pt;width:435.75pt;" filled="f" o:preferrelative="t" stroked="f" coordsize="21600,21600">
            <v:path/>
            <v:fill on="f" focussize="0,0"/>
            <v:stroke on="f" joinstyle="miter"/>
            <v:imagedata r:id="rId34" o:title=""/>
            <o:lock v:ext="edit" aspectratio="t"/>
            <w10:wrap type="none"/>
            <w10:anchorlock/>
          </v:shape>
        </w:pict>
      </w:r>
    </w:p>
    <w:p>
      <w:pPr>
        <w:jc w:val="center"/>
      </w:pPr>
      <w:r>
        <w:rPr>
          <w:rFonts w:hint="eastAsia"/>
        </w:rPr>
        <w:t>智慧灯杆塔示例</w:t>
      </w:r>
    </w:p>
    <w:p>
      <w:pPr>
        <w:pStyle w:val="6"/>
      </w:pPr>
      <w:r>
        <w:rPr>
          <w:rFonts w:hint="eastAsia"/>
        </w:rPr>
        <w:t>仿生通信塔系列</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仿生通信塔系类产品，在其外形上作了重大的突破、改进，以自然生长的松树、樟树、椰子树等为仿真的造型样本、设计素描图和电脑效果图，制订雕塑和喷涂工艺程序。对通信塔仿真伪装，使人们察觉不到塔的存在，把它融入了周围的自然环境中，让通信铁塔与周围的自然环境相协调，适用于梁平对环境要求较高的旅游区、风景区等区域。</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该类产品一般以合成树脂为粘结剂，辅以高级化工原料配制成可塑性物体，用作树杆、树节、树皮、树根等雕塑基材，喷涂高级丙烯酸涂料，修饰保护表面，增强耐久性，可达到</w:t>
      </w:r>
      <w:r>
        <w:rPr>
          <w:rFonts w:ascii="Times New Roman" w:hAnsi="Times New Roman" w:cs="Times New Roman"/>
          <w:kern w:val="2"/>
        </w:rPr>
        <w:t>5</w:t>
      </w:r>
      <w:r>
        <w:rPr>
          <w:rFonts w:hint="eastAsia" w:ascii="Times New Roman" w:hAnsi="Times New Roman" w:cs="Times New Roman"/>
          <w:kern w:val="2"/>
        </w:rPr>
        <w:t>年不褪色，</w:t>
      </w:r>
      <w:r>
        <w:rPr>
          <w:rFonts w:ascii="Times New Roman" w:hAnsi="Times New Roman" w:cs="Times New Roman"/>
          <w:kern w:val="2"/>
        </w:rPr>
        <w:t>10</w:t>
      </w:r>
      <w:r>
        <w:rPr>
          <w:rFonts w:hint="eastAsia" w:ascii="Times New Roman" w:hAnsi="Times New Roman" w:cs="Times New Roman"/>
          <w:kern w:val="2"/>
        </w:rPr>
        <w:t>年内不开裂，不脱落的效果，并具有可复涂性。包括迎客松、仿椰树、仿棕桐树等多种仿生塔型。图片示例如下：</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45" o:spt="75" alt="仿生树型景观塔" type="#_x0000_t75" style="height:168.75pt;width:113.25pt;" filled="f" o:preferrelative="t" stroked="f" coordsize="21600,21600">
            <v:path/>
            <v:fill on="f" focussize="0,0"/>
            <v:stroke on="f" joinstyle="miter"/>
            <v:imagedata r:id="rId35" o:title=""/>
            <o:lock v:ext="edit" aspectratio="t"/>
            <w10:wrap type="none"/>
            <w10:anchorlock/>
          </v:shape>
        </w:pict>
      </w:r>
      <w:r>
        <w:rPr>
          <w:rFonts w:ascii="Times New Roman" w:hAnsi="Times New Roman" w:cs="Times New Roman"/>
          <w:kern w:val="2"/>
        </w:rPr>
        <w:pict>
          <v:shape id="_x0000_i1046" o:spt="75" alt="仿真树2" type="#_x0000_t75" style="height:169.5pt;width:112.5pt;" filled="f" o:preferrelative="t" stroked="f" coordsize="21600,21600">
            <v:path/>
            <v:fill on="f" focussize="0,0"/>
            <v:stroke on="f" joinstyle="miter"/>
            <v:imagedata r:id="rId36" o:title=""/>
            <o:lock v:ext="edit" aspectratio="t"/>
            <w10:wrap type="none"/>
            <w10:anchorlock/>
          </v:shape>
        </w:pict>
      </w:r>
      <w:r>
        <w:rPr>
          <w:rFonts w:ascii="Times New Roman" w:hAnsi="Times New Roman" w:cs="Times New Roman"/>
          <w:kern w:val="2"/>
        </w:rPr>
        <w:pict>
          <v:shape id="_x0000_i1047" o:spt="75" alt="仿真树0" type="#_x0000_t75" style="height:168pt;width:112.5pt;" filled="f" o:preferrelative="t" stroked="f" coordsize="21600,21600">
            <v:path/>
            <v:fill on="f" focussize="0,0"/>
            <v:stroke on="f" joinstyle="miter"/>
            <v:imagedata r:id="rId37" o:title=""/>
            <o:lock v:ext="edit" aspectratio="t"/>
            <w10:wrap type="none"/>
            <w10:anchorlock/>
          </v:shape>
        </w:pict>
      </w:r>
      <w:r>
        <w:rPr>
          <w:rFonts w:ascii="Times New Roman" w:hAnsi="Times New Roman" w:cs="Times New Roman"/>
          <w:kern w:val="2"/>
        </w:rPr>
        <w:pict>
          <v:shape id="_x0000_i1048" o:spt="75" alt="仿真棕榈树2" type="#_x0000_t75" style="height:169.5pt;width:111.75pt;" filled="f" o:preferrelative="t" stroked="f" coordsize="21600,21600">
            <v:path/>
            <v:fill on="f" focussize="0,0"/>
            <v:stroke on="f" joinstyle="miter"/>
            <v:imagedata r:id="rId38" o:title=""/>
            <o:lock v:ext="edit" aspectratio="t"/>
            <w10:wrap type="none"/>
            <w10:anchorlock/>
          </v:shape>
        </w:pict>
      </w:r>
      <w:r>
        <w:rPr>
          <w:rFonts w:ascii="Times New Roman" w:hAnsi="Times New Roman" w:cs="Times New Roman"/>
          <w:kern w:val="2"/>
        </w:rPr>
        <w:pict>
          <v:shape id="_x0000_i1049" o:spt="75" alt="仿真椰子树2" type="#_x0000_t75" style="height:169.5pt;width:112.5pt;" filled="f" o:preferrelative="t" stroked="f" coordsize="21600,21600">
            <v:path/>
            <v:fill on="f" focussize="0,0"/>
            <v:stroke on="f" joinstyle="miter"/>
            <v:imagedata r:id="rId39" o:title=""/>
            <o:lock v:ext="edit" aspectratio="t"/>
            <w10:wrap type="none"/>
            <w10:anchorlock/>
          </v:shape>
        </w:pict>
      </w:r>
      <w:r>
        <w:rPr>
          <w:rFonts w:ascii="Times New Roman" w:hAnsi="Times New Roman" w:cs="Times New Roman"/>
          <w:kern w:val="2"/>
        </w:rPr>
        <w:pict>
          <v:shape id="_x0000_i1050" o:spt="75" alt="椰树" type="#_x0000_t75" style="height:168.75pt;width:108.75pt;" filled="f" o:preferrelative="t" stroked="f" coordsize="21600,21600">
            <v:path/>
            <v:fill on="f" focussize="0,0"/>
            <v:stroke on="f" joinstyle="miter"/>
            <v:imagedata r:id="rId40" cropleft="9913f" cropright="10728f" o:title=""/>
            <o:lock v:ext="edit" aspectratio="t"/>
            <w10:wrap type="none"/>
            <w10:anchorlock/>
          </v:shape>
        </w:pict>
      </w:r>
      <w:r>
        <w:rPr>
          <w:rFonts w:ascii="Times New Roman" w:hAnsi="Times New Roman" w:cs="Times New Roman"/>
          <w:kern w:val="2"/>
        </w:rPr>
        <w:pict>
          <v:shape id="_x0000_i1051" o:spt="75" alt="迎客松_1" type="#_x0000_t75" style="height:168.75pt;width:113.25pt;" filled="f" o:preferrelative="t" stroked="f" coordsize="21600,21600">
            <v:path/>
            <v:fill on="f" focussize="0,0"/>
            <v:stroke on="f" joinstyle="miter"/>
            <v:imagedata r:id="rId41" o:title=""/>
            <o:lock v:ext="edit" aspectratio="t"/>
            <w10:wrap type="none"/>
            <w10:anchorlock/>
          </v:shape>
        </w:pict>
      </w:r>
      <w:r>
        <w:rPr>
          <w:rFonts w:ascii="Times New Roman" w:hAnsi="Times New Roman" w:cs="Times New Roman"/>
          <w:kern w:val="2"/>
        </w:rPr>
        <w:pict>
          <v:shape id="_x0000_i1052" o:spt="75" alt="椰子3" type="#_x0000_t75" style="height:170.25pt;width:107.25pt;" filled="f" o:preferrelative="t" stroked="f" coordsize="21600,21600">
            <v:path/>
            <v:fill on="f" focussize="0,0"/>
            <v:stroke on="f" joinstyle="miter"/>
            <v:imagedata r:id="rId42" o:title=""/>
            <o:lock v:ext="edit" aspectratio="t"/>
            <w10:wrap type="none"/>
            <w10:anchorlock/>
          </v:shape>
        </w:pict>
      </w:r>
    </w:p>
    <w:p>
      <w:pPr>
        <w:jc w:val="center"/>
      </w:pPr>
      <w:r>
        <w:rPr>
          <w:rFonts w:hint="eastAsia"/>
        </w:rPr>
        <w:t>仿生通信塔示例</w:t>
      </w:r>
    </w:p>
    <w:p>
      <w:pPr>
        <w:pStyle w:val="6"/>
      </w:pPr>
      <w:r>
        <w:rPr>
          <w:rFonts w:hint="eastAsia"/>
        </w:rPr>
        <w:t>景观通信塔系列</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景观通信塔，在通信铁塔的基础上改变平台、天线增高架、避雷针等结构，甚至隐藏天线及与各种造型结合以提高塔的美观度和适用性。景观塔分为落地景观塔和楼顶景观塔，落地景观塔的主体结构与通信塔相似，塔高：</w:t>
      </w:r>
      <w:r>
        <w:rPr>
          <w:rFonts w:ascii="Times New Roman" w:hAnsi="Times New Roman" w:cs="Times New Roman"/>
          <w:kern w:val="2"/>
        </w:rPr>
        <w:t>30-50</w:t>
      </w:r>
      <w:r>
        <w:rPr>
          <w:rFonts w:hint="eastAsia" w:ascii="Times New Roman" w:hAnsi="Times New Roman" w:cs="Times New Roman"/>
          <w:kern w:val="2"/>
        </w:rPr>
        <w:t>米；楼顶景观塔是以楼面为基础，适当加硬钢管支撑或拉线以提高强度，其高度相对较低，一般不高于</w:t>
      </w:r>
      <w:r>
        <w:rPr>
          <w:rFonts w:ascii="Times New Roman" w:hAnsi="Times New Roman" w:cs="Times New Roman"/>
          <w:kern w:val="2"/>
        </w:rPr>
        <w:t>30</w:t>
      </w:r>
      <w:r>
        <w:rPr>
          <w:rFonts w:hint="eastAsia" w:ascii="Times New Roman" w:hAnsi="Times New Roman" w:cs="Times New Roman"/>
          <w:kern w:val="2"/>
        </w:rPr>
        <w:t>米。图片示例如下：</w:t>
      </w:r>
    </w:p>
    <w:p>
      <w:pPr>
        <w:widowControl w:val="0"/>
        <w:snapToGrid w:val="0"/>
        <w:spacing w:line="360" w:lineRule="auto"/>
        <w:ind w:firstLine="141" w:firstLineChars="59"/>
        <w:contextualSpacing/>
        <w:jc w:val="both"/>
        <w:rPr>
          <w:rFonts w:ascii="Times New Roman" w:hAnsi="Times New Roman" w:cs="Times New Roman"/>
          <w:kern w:val="2"/>
        </w:rPr>
      </w:pPr>
      <w:r>
        <w:rPr>
          <w:rFonts w:ascii="Times New Roman" w:hAnsi="Times New Roman" w:cs="Times New Roman"/>
          <w:kern w:val="2"/>
        </w:rPr>
        <w:pict>
          <v:shape id="_x0000_i1053" o:spt="75" alt="景观通信塔13" type="#_x0000_t75" style="height:165pt;width:108.75pt;" filled="f" o:preferrelative="t" stroked="f" coordsize="21600,21600">
            <v:path/>
            <v:fill on="f" focussize="0,0"/>
            <v:stroke on="f" joinstyle="miter"/>
            <v:imagedata r:id="rId43" o:title=""/>
            <o:lock v:ext="edit" aspectratio="t"/>
            <w10:wrap type="none"/>
            <w10:anchorlock/>
          </v:shape>
        </w:pict>
      </w:r>
      <w:r>
        <w:rPr>
          <w:rFonts w:ascii="Times New Roman" w:hAnsi="Times New Roman" w:cs="Times New Roman"/>
          <w:kern w:val="2"/>
        </w:rPr>
        <w:pict>
          <v:shape id="_x0000_i1054" o:spt="75" alt="工艺塔1" type="#_x0000_t75" style="height:168.75pt;width:113.25pt;" filled="f" o:preferrelative="t" stroked="f" coordsize="21600,21600">
            <v:path/>
            <v:fill on="f" focussize="0,0"/>
            <v:stroke on="f" joinstyle="miter"/>
            <v:imagedata r:id="rId44" o:title=""/>
            <o:lock v:ext="edit" aspectratio="t"/>
            <w10:wrap type="none"/>
            <w10:anchorlock/>
          </v:shape>
        </w:pict>
      </w:r>
      <w:r>
        <w:rPr>
          <w:rFonts w:ascii="Times New Roman" w:hAnsi="Times New Roman" w:cs="Times New Roman"/>
          <w:kern w:val="2"/>
        </w:rPr>
        <w:pict>
          <v:shape id="_x0000_i1055" o:spt="75" alt="景观通信塔11" type="#_x0000_t75" style="height:168.75pt;width:113.25pt;" filled="f" o:preferrelative="t" stroked="f" coordsize="21600,21600">
            <v:path/>
            <v:fill on="f" focussize="0,0"/>
            <v:stroke on="f" joinstyle="miter"/>
            <v:imagedata r:id="rId45" o:title=""/>
            <o:lock v:ext="edit" aspectratio="t"/>
            <w10:wrap type="none"/>
            <w10:anchorlock/>
          </v:shape>
        </w:pict>
      </w:r>
      <w:r>
        <w:rPr>
          <w:rFonts w:ascii="Times New Roman" w:hAnsi="Times New Roman" w:cs="Times New Roman"/>
          <w:kern w:val="2"/>
        </w:rPr>
        <w:pict>
          <v:shape id="_x0000_i1056" o:spt="75" alt="景观通信塔12" type="#_x0000_t75" style="height:168pt;width:113.25pt;" filled="f" o:preferrelative="t" stroked="f" coordsize="21600,21600">
            <v:path/>
            <v:fill on="f" focussize="0,0"/>
            <v:stroke on="f" joinstyle="miter"/>
            <v:imagedata r:id="rId46" o:title=""/>
            <o:lock v:ext="edit" aspectratio="t"/>
            <w10:wrap type="none"/>
            <w10:anchorlock/>
          </v:shape>
        </w:pic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57" o:spt="75" alt="景观塔飘带型效果图.jpg" type="#_x0000_t75" style="height:168.75pt;width:113.25pt;" filled="f" o:preferrelative="t" stroked="f" coordsize="21600,21600">
            <v:path/>
            <v:fill on="f" focussize="0,0"/>
            <v:stroke on="f" joinstyle="miter"/>
            <v:imagedata r:id="rId47" o:title=""/>
            <o:lock v:ext="edit" aspectratio="t"/>
            <w10:wrap type="none"/>
            <w10:anchorlock/>
          </v:shape>
        </w:pict>
      </w:r>
      <w:r>
        <w:rPr>
          <w:rFonts w:ascii="Times New Roman" w:hAnsi="Times New Roman" w:cs="Times New Roman"/>
          <w:kern w:val="2"/>
        </w:rPr>
        <w:pict>
          <v:shape id="_x0000_i1058" o:spt="75" alt="景观塔风帆II型效果图.jpg" type="#_x0000_t75" style="height:168.75pt;width:113.25pt;" filled="f" o:preferrelative="t" stroked="f" coordsize="21600,21600">
            <v:path/>
            <v:fill on="f" focussize="0,0"/>
            <v:stroke on="f" joinstyle="miter"/>
            <v:imagedata r:id="rId48" o:title=""/>
            <o:lock v:ext="edit" aspectratio="t"/>
            <w10:wrap type="none"/>
            <w10:anchorlock/>
          </v:shape>
        </w:pict>
      </w:r>
      <w:r>
        <w:rPr>
          <w:rFonts w:ascii="Times New Roman" w:hAnsi="Times New Roman" w:cs="Times New Roman"/>
          <w:kern w:val="2"/>
        </w:rPr>
        <w:pict>
          <v:shape id="_x0000_i1059" o:spt="75" alt="景观塔舵轮型效果图.jpg" type="#_x0000_t75" style="height:168.75pt;width:113.25pt;" filled="f" o:preferrelative="t" stroked="f" coordsize="21600,21600">
            <v:path/>
            <v:fill on="f" focussize="0,0"/>
            <v:stroke on="f" joinstyle="miter"/>
            <v:imagedata r:id="rId49" o:title=""/>
            <o:lock v:ext="edit" aspectratio="t"/>
            <w10:wrap type="none"/>
            <w10:anchorlock/>
          </v:shape>
        </w:pict>
      </w:r>
      <w:r>
        <w:rPr>
          <w:rFonts w:ascii="Times New Roman" w:hAnsi="Times New Roman" w:cs="Times New Roman"/>
          <w:kern w:val="2"/>
        </w:rPr>
        <w:pict>
          <v:shape id="_x0000_i1060" o:spt="75" alt="景观塔皇冠I型效果图.jpg" type="#_x0000_t75" style="height:168.75pt;width:113.25pt;" filled="f" o:preferrelative="t" stroked="f" coordsize="21600,21600">
            <v:path/>
            <v:fill on="f" focussize="0,0"/>
            <v:stroke on="f" joinstyle="miter"/>
            <v:imagedata r:id="rId50" o:title=""/>
            <o:lock v:ext="edit" aspectratio="t"/>
            <w10:wrap type="none"/>
            <w10:anchorlock/>
          </v:shape>
        </w:pict>
      </w:r>
    </w:p>
    <w:p>
      <w:pPr>
        <w:jc w:val="center"/>
      </w:pPr>
      <w:r>
        <w:rPr>
          <w:rFonts w:hint="eastAsia"/>
        </w:rPr>
        <w:t>楼顶美化塔</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随着城市建设步伐的加快，老旧房屋不断拆迁，原有安装在老旧房屋上的增高架或抱杆也将面临拆除，重新选址；依据城市规划部门的要求，原有类型增高架或抱杆影响到市容的美观性，受到越来越多的限制；楼顶美化工艺塔的出现，不但可以满足规划部门对美观的需求，还为基站的建设带来了便利。</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城市的规划发展带来人们更多的便利，也就有更多的人群向城市涌动；随着城市移动用户数的不断增加，基站话务量也在不断增加，那么就需要扩容原有基站载频或建设新基站，同时房屋的拆迁造成原有基站的搬迁；而基于市容的美观性，城市规划部门禁止在楼顶新建增高架或抱杆，而且新建楼顶增高架或抱杆引起了市民的极大不满，使建站难度越来越大。对运营商的市区基站建设来说，将面临一个很大的挑战。正是在这样一种环境下，楼顶美化工艺塔在市区建站中的应用显得尤为重要。</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楼顶美化工艺塔种类繁多，可根据建设需求及地理环境选择合适的塔型，此类型塔可广泛应用于商务区、居民区、工业园区等地的通信基站建设，不仅可以满足通信覆盖需求，还可作为建筑性标志，具体设置原则如下：</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w:t>
      </w:r>
      <w:r>
        <w:rPr>
          <w:rFonts w:hint="eastAsia" w:ascii="Times New Roman" w:hAnsi="Times New Roman" w:cs="Times New Roman"/>
          <w:kern w:val="2"/>
        </w:rPr>
        <w:t>对承载力比较好</w:t>
      </w:r>
      <w:r>
        <w:rPr>
          <w:rFonts w:ascii="Times New Roman" w:hAnsi="Times New Roman" w:cs="Times New Roman"/>
          <w:kern w:val="2"/>
        </w:rPr>
        <w:t>(</w:t>
      </w:r>
      <w:r>
        <w:rPr>
          <w:rFonts w:hint="eastAsia" w:ascii="Times New Roman" w:hAnsi="Times New Roman" w:cs="Times New Roman"/>
          <w:kern w:val="2"/>
        </w:rPr>
        <w:t>如框架结构</w:t>
      </w:r>
      <w:r>
        <w:rPr>
          <w:rFonts w:ascii="Times New Roman" w:hAnsi="Times New Roman" w:cs="Times New Roman"/>
          <w:kern w:val="2"/>
        </w:rPr>
        <w:t>)</w:t>
      </w:r>
      <w:r>
        <w:rPr>
          <w:rFonts w:hint="eastAsia" w:ascii="Times New Roman" w:hAnsi="Times New Roman" w:cs="Times New Roman"/>
          <w:kern w:val="2"/>
        </w:rPr>
        <w:t>的楼顶</w:t>
      </w:r>
      <w:r>
        <w:rPr>
          <w:rFonts w:ascii="Times New Roman" w:hAnsi="Times New Roman" w:cs="Times New Roman"/>
          <w:kern w:val="2"/>
        </w:rPr>
        <w:t>,</w:t>
      </w:r>
      <w:r>
        <w:rPr>
          <w:rFonts w:hint="eastAsia" w:ascii="Times New Roman" w:hAnsi="Times New Roman" w:cs="Times New Roman"/>
          <w:kern w:val="2"/>
        </w:rPr>
        <w:t>可以采用重型楼顶美化塔</w:t>
      </w:r>
      <w:r>
        <w:rPr>
          <w:rFonts w:ascii="Times New Roman" w:hAnsi="Times New Roman" w:cs="Times New Roman"/>
          <w:kern w:val="2"/>
        </w:rPr>
        <w:t>,</w:t>
      </w:r>
      <w:r>
        <w:rPr>
          <w:rFonts w:hint="eastAsia" w:ascii="Times New Roman" w:hAnsi="Times New Roman" w:cs="Times New Roman"/>
          <w:kern w:val="2"/>
        </w:rPr>
        <w:t>高度应设置在</w:t>
      </w:r>
      <w:r>
        <w:rPr>
          <w:rFonts w:ascii="Times New Roman" w:hAnsi="Times New Roman" w:cs="Times New Roman"/>
          <w:kern w:val="2"/>
        </w:rPr>
        <w:t>8</w:t>
      </w:r>
      <w:r>
        <w:rPr>
          <w:rFonts w:hint="eastAsia" w:ascii="Times New Roman" w:hAnsi="Times New Roman" w:cs="Times New Roman"/>
          <w:kern w:val="2"/>
        </w:rPr>
        <w:t>米</w:t>
      </w:r>
      <w:r>
        <w:rPr>
          <w:rFonts w:ascii="Times New Roman" w:hAnsi="Times New Roman" w:cs="Times New Roman"/>
          <w:kern w:val="2"/>
        </w:rPr>
        <w:t>-20</w:t>
      </w:r>
      <w:r>
        <w:rPr>
          <w:rFonts w:hint="eastAsia" w:ascii="Times New Roman" w:hAnsi="Times New Roman" w:cs="Times New Roman"/>
          <w:kern w:val="2"/>
        </w:rPr>
        <w:t>米</w:t>
      </w:r>
      <w:r>
        <w:rPr>
          <w:rFonts w:ascii="Times New Roman" w:hAnsi="Times New Roman" w:cs="Times New Roman"/>
          <w:kern w:val="2"/>
        </w:rPr>
        <w:t>,</w:t>
      </w:r>
      <w:r>
        <w:rPr>
          <w:rFonts w:hint="eastAsia" w:ascii="Times New Roman" w:hAnsi="Times New Roman" w:cs="Times New Roman"/>
          <w:kern w:val="2"/>
        </w:rPr>
        <w:t>此类型楼顶基站应设置在市区商务中心楼顶，具体承载力载荷需由土建单位核实。</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(2)</w:t>
      </w:r>
      <w:r>
        <w:rPr>
          <w:rFonts w:hint="eastAsia" w:ascii="Times New Roman" w:hAnsi="Times New Roman" w:cs="Times New Roman"/>
          <w:kern w:val="2"/>
        </w:rPr>
        <w:t>对承载力比较差</w:t>
      </w:r>
      <w:r>
        <w:rPr>
          <w:rFonts w:ascii="Times New Roman" w:hAnsi="Times New Roman" w:cs="Times New Roman"/>
          <w:kern w:val="2"/>
        </w:rPr>
        <w:t>(</w:t>
      </w:r>
      <w:r>
        <w:rPr>
          <w:rFonts w:hint="eastAsia" w:ascii="Times New Roman" w:hAnsi="Times New Roman" w:cs="Times New Roman"/>
          <w:kern w:val="2"/>
        </w:rPr>
        <w:t>如预制板结构</w:t>
      </w:r>
      <w:r>
        <w:rPr>
          <w:rFonts w:ascii="Times New Roman" w:hAnsi="Times New Roman" w:cs="Times New Roman"/>
          <w:kern w:val="2"/>
        </w:rPr>
        <w:t>)</w:t>
      </w:r>
      <w:r>
        <w:rPr>
          <w:rFonts w:hint="eastAsia" w:ascii="Times New Roman" w:hAnsi="Times New Roman" w:cs="Times New Roman"/>
          <w:kern w:val="2"/>
        </w:rPr>
        <w:t>的楼顶</w:t>
      </w:r>
      <w:r>
        <w:rPr>
          <w:rFonts w:ascii="Times New Roman" w:hAnsi="Times New Roman" w:cs="Times New Roman"/>
          <w:kern w:val="2"/>
        </w:rPr>
        <w:t>,</w:t>
      </w:r>
      <w:r>
        <w:rPr>
          <w:rFonts w:hint="eastAsia" w:ascii="Times New Roman" w:hAnsi="Times New Roman" w:cs="Times New Roman"/>
          <w:kern w:val="2"/>
        </w:rPr>
        <w:t>可以采用轻型楼顶美化塔</w:t>
      </w:r>
      <w:r>
        <w:rPr>
          <w:rFonts w:ascii="Times New Roman" w:hAnsi="Times New Roman" w:cs="Times New Roman"/>
          <w:kern w:val="2"/>
        </w:rPr>
        <w:t>,</w:t>
      </w:r>
      <w:r>
        <w:rPr>
          <w:rFonts w:hint="eastAsia" w:ascii="Times New Roman" w:hAnsi="Times New Roman" w:cs="Times New Roman"/>
          <w:kern w:val="2"/>
        </w:rPr>
        <w:t>高度应设置在</w:t>
      </w:r>
      <w:r>
        <w:rPr>
          <w:rFonts w:ascii="Times New Roman" w:hAnsi="Times New Roman" w:cs="Times New Roman"/>
          <w:kern w:val="2"/>
        </w:rPr>
        <w:t>8</w:t>
      </w:r>
      <w:r>
        <w:rPr>
          <w:rFonts w:hint="eastAsia" w:ascii="Times New Roman" w:hAnsi="Times New Roman" w:cs="Times New Roman"/>
          <w:kern w:val="2"/>
        </w:rPr>
        <w:t>米</w:t>
      </w:r>
      <w:r>
        <w:rPr>
          <w:rFonts w:ascii="Times New Roman" w:hAnsi="Times New Roman" w:cs="Times New Roman"/>
          <w:kern w:val="2"/>
        </w:rPr>
        <w:t>-15</w:t>
      </w:r>
      <w:r>
        <w:rPr>
          <w:rFonts w:hint="eastAsia" w:ascii="Times New Roman" w:hAnsi="Times New Roman" w:cs="Times New Roman"/>
          <w:kern w:val="2"/>
        </w:rPr>
        <w:t>米</w:t>
      </w:r>
      <w:r>
        <w:rPr>
          <w:rFonts w:ascii="Times New Roman" w:hAnsi="Times New Roman" w:cs="Times New Roman"/>
          <w:kern w:val="2"/>
        </w:rPr>
        <w:t>,</w:t>
      </w:r>
      <w:r>
        <w:rPr>
          <w:rFonts w:hint="eastAsia" w:ascii="Times New Roman" w:hAnsi="Times New Roman" w:cs="Times New Roman"/>
          <w:kern w:val="2"/>
        </w:rPr>
        <w:t>此类型楼顶基站应设置在居民区楼顶，具体承载力载荷需由土建单位核实。</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w:t>
      </w:r>
      <w:r>
        <w:rPr>
          <w:rFonts w:hint="eastAsia" w:ascii="Times New Roman" w:hAnsi="Times New Roman" w:cs="Times New Roman"/>
          <w:kern w:val="2"/>
        </w:rPr>
        <w:t>对高档小区设置楼顶美化工艺塔时，可对塔体进行装饰，具体可根据小区环境而定，体现良好的人文居住环境，不因安装天线对环境造成影响。</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(4)</w:t>
      </w:r>
      <w:r>
        <w:rPr>
          <w:rFonts w:hint="eastAsia" w:ascii="Times New Roman" w:hAnsi="Times New Roman" w:cs="Times New Roman"/>
          <w:kern w:val="2"/>
        </w:rPr>
        <w:t>对</w:t>
      </w:r>
      <w:r>
        <w:rPr>
          <w:rFonts w:ascii="Times New Roman" w:hAnsi="Times New Roman" w:cs="Times New Roman"/>
          <w:kern w:val="2"/>
        </w:rPr>
        <w:t>20</w:t>
      </w:r>
      <w:r>
        <w:rPr>
          <w:rFonts w:hint="eastAsia" w:ascii="Times New Roman" w:hAnsi="Times New Roman" w:cs="Times New Roman"/>
          <w:kern w:val="2"/>
        </w:rPr>
        <w:t>层以上的高楼，不能直接将楼顶美化工艺塔设置在楼顶，这样会对市区的其它基站形成越区覆盖，会对其它基站系统形成干扰，最好将基站设置在该高楼的裙楼楼顶上。</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61" o:spt="75" type="#_x0000_t75" style="height:149.25pt;width:110.25pt;" filled="f" o:preferrelative="t" stroked="f" coordsize="21600,21600">
            <v:path/>
            <v:fill on="f" focussize="0,0"/>
            <v:stroke on="f" joinstyle="miter"/>
            <v:imagedata r:id="rId51" o:title=""/>
            <o:lock v:ext="edit" aspectratio="t"/>
            <w10:wrap type="none"/>
            <w10:anchorlock/>
          </v:shape>
        </w:pict>
      </w:r>
      <w:r>
        <w:rPr>
          <w:rFonts w:ascii="Times New Roman" w:hAnsi="Times New Roman" w:cs="Times New Roman"/>
          <w:kern w:val="2"/>
        </w:rPr>
        <w:pict>
          <v:shape id="_x0000_i1062" o:spt="75" alt="景观通信塔13" type="#_x0000_t75" style="height:149.25pt;width:108.75pt;" filled="f" o:preferrelative="t" stroked="f" coordsize="21600,21600">
            <v:path/>
            <v:fill on="f" focussize="0,0"/>
            <v:stroke on="f" joinstyle="miter"/>
            <v:imagedata r:id="rId43" o:title=""/>
            <o:lock v:ext="edit" aspectratio="t"/>
            <w10:wrap type="none"/>
            <w10:anchorlock/>
          </v:shape>
        </w:pict>
      </w:r>
      <w:r>
        <w:rPr>
          <w:rFonts w:ascii="Times New Roman" w:hAnsi="Times New Roman" w:cs="Times New Roman"/>
          <w:kern w:val="2"/>
        </w:rPr>
        <w:pict>
          <v:shape id="_x0000_i1063" o:spt="75" alt="明珠型楼顶景观塔" type="#_x0000_t75" style="height:150pt;width:113.25pt;" filled="f" o:preferrelative="t" stroked="f" coordsize="21600,21600">
            <v:path/>
            <v:fill on="f" focussize="0,0"/>
            <v:stroke on="f" joinstyle="miter"/>
            <v:imagedata r:id="rId52" cropleft="16691f" cropright="11017f" o:title=""/>
            <o:lock v:ext="edit" aspectratio="t"/>
            <w10:wrap type="none"/>
            <w10:anchorlock/>
          </v:shape>
        </w:pict>
      </w:r>
      <w:r>
        <w:rPr>
          <w:rFonts w:ascii="Times New Roman" w:hAnsi="Times New Roman" w:cs="Times New Roman"/>
          <w:kern w:val="2"/>
        </w:rPr>
        <w:pict>
          <v:shape id="_x0000_i1064" o:spt="75" alt="景观通信塔12" type="#_x0000_t75" style="height:152.25pt;width:113.25pt;" filled="f" o:preferrelative="t" stroked="f" coordsize="21600,21600">
            <v:path/>
            <v:fill on="f" focussize="0,0"/>
            <v:stroke on="f" joinstyle="miter"/>
            <v:imagedata r:id="rId53" o:title=""/>
            <o:lock v:ext="edit" aspectratio="t"/>
            <w10:wrap type="none"/>
            <w10:anchorlock/>
          </v:shape>
        </w:pict>
      </w:r>
      <w:r>
        <w:rPr>
          <w:rFonts w:ascii="Times New Roman" w:hAnsi="Times New Roman" w:cs="Times New Roman"/>
          <w:kern w:val="2"/>
        </w:rPr>
        <w:t xml:space="preserve"> </w:t>
      </w:r>
    </w:p>
    <w:p>
      <w:pPr>
        <w:jc w:val="center"/>
      </w:pPr>
      <w:r>
        <w:rPr>
          <w:rFonts w:hint="eastAsia"/>
        </w:rPr>
        <w:t>楼顶景观通信塔示例</w:t>
      </w:r>
    </w:p>
    <w:p>
      <w:pPr>
        <w:pStyle w:val="6"/>
      </w:pPr>
      <w:r>
        <w:rPr>
          <w:rFonts w:hint="eastAsia"/>
        </w:rPr>
        <w:t>美化天线</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随着移动通信的快速发展，城市基站数量不断增多，网络共站建设等情况使天线数量更多，而且高低不齐。各种天线造成了环境的不协调，视觉上的冲击尤为突出，导致基站选址相当困难。而梁平城区现状基站楼顶抱杆和楼顶增高架数量非常多，天线直接裸露在外，更加重了这种不协调感。采用美化天线可起到美化环境、隐蔽天线降低视觉冲击和提高裸露天线使用寿命的作用。但也会造成增加天线传播损耗、维护和调整困难以及增加对天线性能</w:t>
      </w:r>
      <w:r>
        <w:rPr>
          <w:rFonts w:ascii="Times New Roman" w:hAnsi="Times New Roman" w:cs="Times New Roman"/>
          <w:kern w:val="2"/>
        </w:rPr>
        <w:t>(</w:t>
      </w:r>
      <w:r>
        <w:rPr>
          <w:rFonts w:hint="eastAsia" w:ascii="Times New Roman" w:hAnsi="Times New Roman" w:cs="Times New Roman"/>
          <w:kern w:val="2"/>
        </w:rPr>
        <w:t>隔离度</w:t>
      </w:r>
      <w:r>
        <w:rPr>
          <w:rFonts w:ascii="Times New Roman" w:hAnsi="Times New Roman" w:cs="Times New Roman"/>
          <w:kern w:val="2"/>
        </w:rPr>
        <w:t>)</w:t>
      </w:r>
      <w:r>
        <w:rPr>
          <w:rFonts w:hint="eastAsia" w:ascii="Times New Roman" w:hAnsi="Times New Roman" w:cs="Times New Roman"/>
          <w:kern w:val="2"/>
        </w:rPr>
        <w:t>要求。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美化天线是对天线美化产品的统称，是广义上的称呼，从狭义上美化天线可以分为美化特型天线和美化体。</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美化特型天线是指具有隐蔽、伪装外观的天线，无需另加遮罩、掩体及美化物。</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美化体是指为了达到隐蔽、伪装、美观的目的，对常规天线加装的遮罩、掩体及美化物。</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由于美化特型天线价格相对比较昂贵，使用相对较少，而对于美化体使用比较多。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美化天线造型各异，不拘一格，种类繁多，只要能与周边环境相融合即可，下面按照外形分类介绍几种常见美化天线。</w:t>
      </w:r>
    </w:p>
    <w:p>
      <w:pPr>
        <w:jc w:val="center"/>
      </w:pPr>
      <w:r>
        <w:rPr>
          <w:rFonts w:hint="eastAsia"/>
        </w:rPr>
        <w:t>树脂女儿墙</w:t>
      </w:r>
    </w:p>
    <w:p>
      <w:pPr>
        <w:widowControl w:val="0"/>
        <w:spacing w:line="360" w:lineRule="auto"/>
        <w:jc w:val="both"/>
        <w:rPr>
          <w:rFonts w:ascii="Times New Roman" w:hAnsi="Times New Roman" w:cs="Times New Roman"/>
          <w:kern w:val="2"/>
        </w:rPr>
      </w:pPr>
      <w:r>
        <w:rPr>
          <w:rFonts w:ascii="Times New Roman" w:hAnsi="Times New Roman" w:cs="Times New Roman"/>
          <w:kern w:val="2"/>
        </w:rPr>
        <w:pict>
          <v:shape id="_x0000_i1065" o:spt="75" type="#_x0000_t75" style="height:121.5pt;width:214.5pt;" filled="f" o:preferrelative="t" stroked="f" coordsize="21600,21600">
            <v:path/>
            <v:fill on="f" focussize="0,0"/>
            <v:stroke on="f" joinstyle="miter"/>
            <v:imagedata r:id="rId54" o:title=""/>
            <o:lock v:ext="edit" aspectratio="t"/>
            <w10:wrap type="none"/>
            <w10:anchorlock/>
          </v:shape>
        </w:pict>
      </w:r>
      <w:r>
        <w:rPr>
          <w:rFonts w:ascii="Times New Roman" w:hAnsi="Times New Roman" w:cs="Times New Roman"/>
          <w:kern w:val="2"/>
        </w:rPr>
        <w:pict>
          <v:shape id="_x0000_i1066" o:spt="75" type="#_x0000_t75" style="height:126.75pt;width:223.5pt;" filled="f" o:preferrelative="t" stroked="f" coordsize="21600,21600">
            <v:path/>
            <v:fill on="f" focussize="0,0"/>
            <v:stroke on="f" joinstyle="miter"/>
            <v:imagedata r:id="rId55" o:title=""/>
            <o:lock v:ext="edit" aspectratio="t"/>
            <w10:wrap type="none"/>
            <w10:anchorlock/>
          </v:shape>
        </w:pict>
      </w:r>
    </w:p>
    <w:p>
      <w:pPr>
        <w:jc w:val="center"/>
      </w:pPr>
      <w:r>
        <w:rPr>
          <w:rFonts w:hint="eastAsia"/>
        </w:rPr>
        <w:t>方柱型</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67" o:spt="75" type="#_x0000_t75" style="height:170.25pt;width:138.75pt;" filled="f" o:preferrelative="t" stroked="f" coordsize="21600,21600">
            <v:path/>
            <v:fill on="f" focussize="0,0"/>
            <v:stroke on="f" joinstyle="miter"/>
            <v:imagedata r:id="rId56" o:title=""/>
            <o:lock v:ext="edit" aspectratio="t"/>
            <w10:wrap type="none"/>
            <w10:anchorlock/>
          </v:shape>
        </w:pict>
      </w:r>
      <w:r>
        <w:rPr>
          <w:rFonts w:ascii="Times New Roman" w:hAnsi="Times New Roman" w:cs="Times New Roman"/>
          <w:kern w:val="2"/>
        </w:rPr>
        <w:pict>
          <v:shape id="_x0000_i1068" o:spt="75" type="#_x0000_t75" style="height:169.5pt;width:140.25pt;" filled="f" o:preferrelative="t" stroked="f" coordsize="21600,21600">
            <v:path/>
            <v:fill on="f" focussize="0,0"/>
            <v:stroke on="f" joinstyle="miter"/>
            <v:imagedata r:id="rId57" o:title=""/>
            <o:lock v:ext="edit" aspectratio="t"/>
            <w10:wrap type="none"/>
            <w10:anchorlock/>
          </v:shape>
        </w:pict>
      </w:r>
      <w:r>
        <w:rPr>
          <w:rFonts w:ascii="Times New Roman" w:hAnsi="Times New Roman" w:cs="Times New Roman"/>
          <w:kern w:val="2"/>
        </w:rPr>
        <w:pict>
          <v:shape id="_x0000_i1069" o:spt="75" alt="烟囱2.jpg" type="#_x0000_t75" style="height:168pt;width:141pt;" filled="f" o:preferrelative="t" stroked="f" coordsize="21600,21600">
            <v:path/>
            <v:fill on="f" focussize="0,0"/>
            <v:stroke on="f" joinstyle="miter"/>
            <v:imagedata r:id="rId58" o:title=""/>
            <o:lock v:ext="edit" aspectratio="t"/>
            <w10:wrap type="none"/>
            <w10:anchorlock/>
          </v:shape>
        </w:pict>
      </w:r>
    </w:p>
    <w:p>
      <w:pPr>
        <w:jc w:val="center"/>
      </w:pPr>
      <w:r>
        <w:rPr>
          <w:rFonts w:hint="eastAsia"/>
        </w:rPr>
        <w:t>圆柱型</w:t>
      </w:r>
    </w:p>
    <w:p>
      <w:pPr>
        <w:widowControl w:val="0"/>
        <w:snapToGrid w:val="0"/>
        <w:spacing w:line="360" w:lineRule="auto"/>
        <w:contextualSpacing/>
        <w:rPr>
          <w:rFonts w:ascii="Times New Roman" w:hAnsi="Times New Roman" w:cs="Times New Roman"/>
          <w:kern w:val="2"/>
        </w:rPr>
      </w:pPr>
      <w:r>
        <w:rPr>
          <w:rFonts w:ascii="Times New Roman" w:hAnsi="Times New Roman" w:cs="Times New Roman"/>
          <w:kern w:val="2"/>
        </w:rPr>
        <w:pict>
          <v:shape id="_x0000_i1070" o:spt="75" type="#_x0000_t75" style="height:143.25pt;width:141pt;" filled="f" o:preferrelative="t" stroked="f" coordsize="21600,21600">
            <v:path/>
            <v:fill on="f" focussize="0,0"/>
            <v:stroke on="f" joinstyle="miter"/>
            <v:imagedata r:id="rId59" o:title=""/>
            <o:lock v:ext="edit" aspectratio="t"/>
            <w10:wrap type="none"/>
            <w10:anchorlock/>
          </v:shape>
        </w:pict>
      </w:r>
      <w:r>
        <w:rPr>
          <w:rFonts w:ascii="Times New Roman" w:hAnsi="Times New Roman" w:cs="Times New Roman"/>
          <w:kern w:val="2"/>
        </w:rPr>
        <w:pict>
          <v:shape id="_x0000_i1071" o:spt="75" alt="S9{H11IT)[KOCI89ZLL7F9C" type="#_x0000_t75" style="height:143.25pt;width:139.5pt;" filled="f" o:preferrelative="t" stroked="f" coordsize="21600,21600">
            <v:path/>
            <v:fill on="f" focussize="0,0"/>
            <v:stroke on="f" joinstyle="miter"/>
            <v:imagedata r:id="rId60" o:title=""/>
            <o:lock v:ext="edit" aspectratio="t"/>
            <w10:wrap type="none"/>
            <w10:anchorlock/>
          </v:shape>
        </w:pict>
      </w:r>
      <w:r>
        <w:rPr>
          <w:rFonts w:ascii="Times New Roman" w:hAnsi="Times New Roman" w:cs="Times New Roman"/>
          <w:kern w:val="2"/>
        </w:rPr>
        <w:pict>
          <v:shape id="_x0000_i1072" o:spt="75" type="#_x0000_t75" style="height:143.25pt;width:141.75pt;" filled="f" o:preferrelative="t" stroked="f" coordsize="21600,21600">
            <v:path/>
            <v:fill on="f" focussize="0,0"/>
            <v:stroke on="f" joinstyle="miter"/>
            <v:imagedata r:id="rId61" o:title=""/>
            <o:lock v:ext="edit" aspectratio="t"/>
            <w10:wrap type="none"/>
            <w10:anchorlock/>
          </v:shape>
        </w:pict>
      </w:r>
    </w:p>
    <w:p>
      <w:pPr>
        <w:jc w:val="center"/>
      </w:pPr>
      <w:r>
        <w:rPr>
          <w:rFonts w:hint="eastAsia"/>
        </w:rPr>
        <w:t>空调型</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073" o:spt="75" type="#_x0000_t75" style="height:143.25pt;width:141pt;" filled="f" o:preferrelative="t" stroked="f" coordsize="21600,21600">
            <v:path/>
            <v:fill on="f" focussize="0,0"/>
            <v:stroke on="f" joinstyle="miter"/>
            <v:imagedata r:id="rId62" o:title=""/>
            <o:lock v:ext="edit" aspectratio="t"/>
            <w10:wrap type="none"/>
            <w10:anchorlock/>
          </v:shape>
        </w:pict>
      </w:r>
      <w:r>
        <w:rPr>
          <w:rFonts w:ascii="Times New Roman" w:hAnsi="Times New Roman" w:cs="Times New Roman"/>
          <w:kern w:val="2"/>
        </w:rPr>
        <w:pict>
          <v:shape id="_x0000_i1074" o:spt="75" type="#_x0000_t75" style="height:141.75pt;width:135.75pt;" filled="f" o:preferrelative="t" stroked="f" coordsize="21600,21600">
            <v:path/>
            <v:fill on="f" focussize="0,0"/>
            <v:stroke on="f" joinstyle="miter"/>
            <v:imagedata r:id="rId63" cropleft="17533f" croptop="38465f" cropright="20310f" cropbottom="2309f" o:title=""/>
            <o:lock v:ext="edit" aspectratio="t"/>
            <w10:wrap type="none"/>
            <w10:anchorlock/>
          </v:shape>
        </w:pict>
      </w:r>
      <w:r>
        <w:rPr>
          <w:rFonts w:ascii="Times New Roman" w:hAnsi="Times New Roman" w:cs="Times New Roman"/>
          <w:kern w:val="2"/>
        </w:rPr>
        <w:pict>
          <v:shape id="_x0000_i1075" o:spt="75" type="#_x0000_t75" style="height:143.25pt;width:141pt;" filled="f" o:preferrelative="t" stroked="f" coordsize="21600,21600">
            <v:path/>
            <v:fill on="f" focussize="0,0"/>
            <v:stroke on="f" joinstyle="miter"/>
            <v:imagedata r:id="rId64" o:title=""/>
            <o:lock v:ext="edit" aspectratio="t"/>
            <w10:wrap type="none"/>
            <w10:anchorlock/>
          </v:shape>
        </w:pict>
      </w:r>
      <w:r>
        <w:rPr>
          <w:rFonts w:ascii="Times New Roman" w:hAnsi="Times New Roman" w:cs="Times New Roman"/>
          <w:kern w:val="2"/>
        </w:rPr>
        <w:t xml:space="preserve"> </w:t>
      </w:r>
    </w:p>
    <w:p>
      <w:pPr>
        <w:jc w:val="center"/>
      </w:pPr>
      <w:r>
        <w:rPr>
          <w:rFonts w:hint="eastAsia"/>
        </w:rPr>
        <w:t>变色龙型</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76" o:spt="75" type="#_x0000_t75" style="height:143.25pt;width:141pt;" filled="f" o:preferrelative="t" stroked="f" coordsize="21600,21600">
            <v:path/>
            <v:fill on="f" focussize="0,0"/>
            <v:stroke on="f" joinstyle="miter"/>
            <v:imagedata r:id="rId65" o:title=""/>
            <o:lock v:ext="edit" aspectratio="t"/>
            <w10:wrap type="none"/>
            <w10:anchorlock/>
          </v:shape>
        </w:pict>
      </w:r>
      <w:r>
        <w:rPr>
          <w:rFonts w:ascii="Times New Roman" w:hAnsi="Times New Roman" w:cs="Times New Roman"/>
          <w:kern w:val="2"/>
        </w:rPr>
        <w:pict>
          <v:shape id="_x0000_i1077" o:spt="75" type="#_x0000_t75" style="height:142.5pt;width:141.75pt;" filled="f" o:preferrelative="t" stroked="f" coordsize="21600,21600">
            <v:path/>
            <v:fill on="f" focussize="0,0"/>
            <v:stroke on="f" joinstyle="miter"/>
            <v:imagedata r:id="rId66" o:title=""/>
            <o:lock v:ext="edit" aspectratio="t"/>
            <w10:wrap type="none"/>
            <w10:anchorlock/>
          </v:shape>
        </w:pict>
      </w:r>
      <w:r>
        <w:rPr>
          <w:rFonts w:ascii="Times New Roman" w:hAnsi="Times New Roman" w:cs="Times New Roman"/>
          <w:kern w:val="2"/>
        </w:rPr>
        <w:pict>
          <v:shape id="_x0000_i1078" o:spt="75" alt="变色龙.jpg" type="#_x0000_t75" style="height:139.5pt;width:137.25pt;" filled="f" o:preferrelative="t" stroked="f" coordsize="21600,21600">
            <v:path/>
            <v:fill on="f" focussize="0,0"/>
            <v:stroke on="f" joinstyle="miter"/>
            <v:imagedata r:id="rId67" cropbottom="8890f" o:title=""/>
            <o:lock v:ext="edit" aspectratio="t"/>
            <w10:wrap type="none"/>
            <w10:anchorlock/>
          </v:shape>
        </w:pict>
      </w:r>
    </w:p>
    <w:p>
      <w:pPr>
        <w:jc w:val="center"/>
      </w:pPr>
      <w:r>
        <w:rPr>
          <w:rFonts w:hint="eastAsia"/>
        </w:rPr>
        <w:t>水罐型</w:t>
      </w:r>
      <w:r>
        <w:t>(</w:t>
      </w:r>
      <w:r>
        <w:rPr>
          <w:rFonts w:hint="eastAsia"/>
        </w:rPr>
        <w:t>水箱型、水塔型</w:t>
      </w:r>
      <w: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79" o:spt="75" type="#_x0000_t75" style="height:144pt;width:141.75pt;" filled="f" o:preferrelative="t" stroked="f" coordsize="21600,21600">
            <v:path/>
            <v:fill on="f" focussize="0,0"/>
            <v:stroke on="f" joinstyle="miter"/>
            <v:imagedata r:id="rId68" o:title=""/>
            <o:lock v:ext="edit" aspectratio="t"/>
            <w10:wrap type="none"/>
            <w10:anchorlock/>
          </v:shape>
        </w:pict>
      </w:r>
      <w:r>
        <w:rPr>
          <w:rFonts w:ascii="Times New Roman" w:hAnsi="Times New Roman" w:cs="Times New Roman"/>
          <w:kern w:val="2"/>
        </w:rPr>
        <w:pict>
          <v:shape id="_x0000_i1080" o:spt="75" type="#_x0000_t75" style="height:140.25pt;width:138.75pt;" filled="f" o:preferrelative="t" stroked="f" coordsize="21600,21600">
            <v:path/>
            <v:fill on="f" focussize="0,0"/>
            <v:stroke on="f" joinstyle="miter"/>
            <v:imagedata r:id="rId69" o:title=""/>
            <o:lock v:ext="edit" aspectratio="t"/>
            <w10:wrap type="none"/>
            <w10:anchorlock/>
          </v:shape>
        </w:pict>
      </w:r>
      <w:r>
        <w:rPr>
          <w:rFonts w:ascii="Times New Roman" w:hAnsi="Times New Roman" w:cs="Times New Roman"/>
          <w:kern w:val="2"/>
        </w:rPr>
        <w:pict>
          <v:shape id="_x0000_i1081" o:spt="75" alt="水罐.jpg" type="#_x0000_t75" style="height:140.25pt;width:140.25pt;" filled="f" o:preferrelative="t" stroked="f" coordsize="21600,21600">
            <v:path/>
            <v:fill on="f" focussize="0,0"/>
            <v:stroke on="f" joinstyle="miter"/>
            <v:imagedata r:id="rId70" o:title=""/>
            <o:lock v:ext="edit" aspectratio="t"/>
            <w10:wrap type="none"/>
            <w10:anchorlock/>
          </v:shape>
        </w:pict>
      </w:r>
      <w:r>
        <w:rPr>
          <w:rFonts w:ascii="Times New Roman" w:hAnsi="Times New Roman" w:cs="Times New Roman"/>
          <w:kern w:val="2"/>
        </w:rPr>
        <w:t xml:space="preserve"> </w:t>
      </w:r>
    </w:p>
    <w:p>
      <w:pPr>
        <w:jc w:val="center"/>
      </w:pPr>
    </w:p>
    <w:p>
      <w:pPr>
        <w:jc w:val="center"/>
      </w:pPr>
      <w:r>
        <w:rPr>
          <w:rFonts w:hint="eastAsia"/>
        </w:rPr>
        <w:t>烟囱型</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82" o:spt="75" alt="IMG_1075" type="#_x0000_t75" style="height:144.75pt;width:141pt;" filled="f" o:preferrelative="t" stroked="f" coordsize="21600,21600">
            <v:path/>
            <v:fill on="f" focussize="0,0"/>
            <v:stroke on="f" joinstyle="miter"/>
            <v:imagedata r:id="rId71" o:title=""/>
            <o:lock v:ext="edit" aspectratio="t"/>
            <w10:wrap type="none"/>
            <w10:anchorlock/>
          </v:shape>
        </w:pict>
      </w:r>
      <w:r>
        <w:rPr>
          <w:rFonts w:ascii="Times New Roman" w:hAnsi="Times New Roman" w:cs="Times New Roman"/>
          <w:kern w:val="2"/>
        </w:rPr>
        <w:pict>
          <v:shape id="_x0000_i1083" o:spt="75" alt="烟囱型美化天线.jpg" type="#_x0000_t75" style="height:140.25pt;width:140.25pt;" filled="f" o:preferrelative="t" stroked="f" coordsize="21600,21600">
            <v:path/>
            <v:fill on="f" focussize="0,0"/>
            <v:stroke on="f" joinstyle="miter"/>
            <v:imagedata r:id="rId72" o:title=""/>
            <o:lock v:ext="edit" aspectratio="t"/>
            <w10:wrap type="none"/>
            <w10:anchorlock/>
          </v:shape>
        </w:pict>
      </w:r>
      <w:r>
        <w:rPr>
          <w:rFonts w:ascii="Times New Roman" w:hAnsi="Times New Roman" w:cs="Times New Roman"/>
          <w:kern w:val="2"/>
        </w:rPr>
        <w:pict>
          <v:shape id="_x0000_i1084" o:spt="75" alt="烟囱5.JPG" type="#_x0000_t75" style="height:143.25pt;width:141pt;" filled="f" o:preferrelative="t" stroked="f" coordsize="21600,21600">
            <v:path/>
            <v:fill on="f" focussize="0,0"/>
            <v:stroke on="f" joinstyle="miter"/>
            <v:imagedata r:id="rId73" o:title=""/>
            <o:lock v:ext="edit" aspectratio="t"/>
            <w10:wrap type="none"/>
            <w10:anchorlock/>
          </v:shape>
        </w:pict>
      </w:r>
    </w:p>
    <w:p>
      <w:pPr>
        <w:jc w:val="center"/>
      </w:pPr>
      <w:r>
        <w:rPr>
          <w:rFonts w:hint="eastAsia"/>
        </w:rPr>
        <w:t>栅栏型</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85" o:spt="75" type="#_x0000_t75" style="height:138pt;width:141pt;" filled="f" o:preferrelative="t" stroked="f" coordsize="21600,21600">
            <v:path/>
            <v:fill on="f" focussize="0,0"/>
            <v:stroke on="f" joinstyle="miter"/>
            <v:imagedata r:id="rId74" croptop="37400f" cropright="43071f" o:title=""/>
            <o:lock v:ext="edit" aspectratio="t"/>
            <w10:wrap type="none"/>
            <w10:anchorlock/>
          </v:shape>
        </w:pict>
      </w:r>
      <w:r>
        <w:rPr>
          <w:rFonts w:ascii="Times New Roman" w:hAnsi="Times New Roman" w:cs="Times New Roman"/>
          <w:kern w:val="2"/>
        </w:rPr>
        <w:pict>
          <v:shape id="_x0000_i1086" o:spt="75" alt="栅栏型.jpg" type="#_x0000_t75" style="height:143.25pt;width:140.25pt;" filled="f" o:preferrelative="t" stroked="f" coordsize="21600,21600">
            <v:path/>
            <v:fill on="f" focussize="0,0"/>
            <v:stroke on="f" joinstyle="miter"/>
            <v:imagedata r:id="rId75" o:title=""/>
            <o:lock v:ext="edit" aspectratio="t"/>
            <w10:wrap type="none"/>
            <w10:anchorlock/>
          </v:shape>
        </w:pict>
      </w:r>
      <w:r>
        <w:rPr>
          <w:rFonts w:ascii="Times New Roman" w:hAnsi="Times New Roman" w:cs="Times New Roman"/>
          <w:kern w:val="2"/>
        </w:rPr>
        <w:pict>
          <v:shape id="_x0000_i1087" o:spt="75" type="#_x0000_t75" style="height:144pt;width:138pt;" filled="f" o:preferrelative="t" stroked="f" coordsize="21600,21600">
            <v:path/>
            <v:fill on="f" focussize="0,0"/>
            <v:stroke on="f" joinstyle="miter"/>
            <v:imagedata r:id="rId76" o:title=""/>
            <o:lock v:ext="edit" aspectratio="t"/>
            <w10:wrap type="none"/>
            <w10:anchorlock/>
          </v:shape>
        </w:pict>
      </w:r>
    </w:p>
    <w:p>
      <w:pPr>
        <w:jc w:val="center"/>
      </w:pPr>
      <w:r>
        <w:rPr>
          <w:rFonts w:hint="eastAsia"/>
        </w:rPr>
        <w:t>楼顶支撑杆型</w:t>
      </w:r>
      <w:r>
        <w:t>(</w:t>
      </w:r>
      <w:r>
        <w:rPr>
          <w:rFonts w:hint="eastAsia"/>
        </w:rPr>
        <w:t>集束</w:t>
      </w:r>
      <w:r>
        <w:t>)</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88" o:spt="75" type="#_x0000_t75" style="height:136.5pt;width:135pt;" filled="f" o:preferrelative="t" stroked="f" coordsize="21600,21600">
            <v:path/>
            <v:fill on="f" focussize="0,0"/>
            <v:stroke on="f" joinstyle="miter"/>
            <v:imagedata r:id="rId77" cropright="37262f" cropbottom="1944f" o:title=""/>
            <o:lock v:ext="edit" aspectratio="t"/>
            <w10:wrap type="none"/>
            <w10:anchorlock/>
          </v:shape>
        </w:pict>
      </w:r>
      <w:r>
        <w:rPr>
          <w:rFonts w:ascii="Times New Roman" w:hAnsi="Times New Roman" w:cs="Times New Roman"/>
          <w:kern w:val="2"/>
        </w:rPr>
        <w:pict>
          <v:shape id="_x0000_i1089" o:spt="75" type="#_x0000_t75" style="height:144pt;width:141pt;" filled="f" o:preferrelative="t" stroked="f" coordsize="21600,21600">
            <v:path/>
            <v:fill on="f" focussize="0,0"/>
            <v:stroke on="f" joinstyle="miter"/>
            <v:imagedata r:id="rId78" o:title=""/>
            <o:lock v:ext="edit" aspectratio="t"/>
            <w10:wrap type="none"/>
            <w10:anchorlock/>
          </v:shape>
        </w:pict>
      </w:r>
      <w:r>
        <w:rPr>
          <w:rFonts w:ascii="Times New Roman" w:hAnsi="Times New Roman" w:cs="Times New Roman"/>
          <w:kern w:val="2"/>
        </w:rPr>
        <w:pict>
          <v:shape id="_x0000_i1090" o:spt="75" type="#_x0000_t75" style="height:143.25pt;width:141.75pt;" filled="f" o:preferrelative="t" stroked="f" coordsize="21600,21600">
            <v:path/>
            <v:fill on="f" focussize="0,0"/>
            <v:stroke on="f" joinstyle="miter"/>
            <v:imagedata r:id="rId79" o:title=""/>
            <o:lock v:ext="edit" aspectratio="t"/>
            <w10:wrap type="none"/>
            <w10:anchorlock/>
          </v:shape>
        </w:pict>
      </w:r>
      <w:r>
        <w:rPr>
          <w:rFonts w:ascii="Times New Roman" w:hAnsi="Times New Roman" w:cs="Times New Roman"/>
          <w:kern w:val="2"/>
        </w:rPr>
        <w:t xml:space="preserve"> </w:t>
      </w:r>
    </w:p>
    <w:p>
      <w:pPr>
        <w:jc w:val="center"/>
      </w:pPr>
      <w:r>
        <w:rPr>
          <w:rFonts w:hint="eastAsia"/>
        </w:rPr>
        <w:t>广告牌型</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91" o:spt="75" type="#_x0000_t75" style="height:143.25pt;width:139.5pt;" filled="f" o:preferrelative="t" stroked="f" coordsize="21600,21600">
            <v:path/>
            <v:fill on="f" focussize="0,0"/>
            <v:stroke on="f" joinstyle="miter"/>
            <v:imagedata r:id="rId80" o:title=""/>
            <o:lock v:ext="edit" aspectratio="t"/>
            <w10:wrap type="none"/>
            <w10:anchorlock/>
          </v:shape>
        </w:pict>
      </w:r>
      <w:r>
        <w:rPr>
          <w:rFonts w:ascii="Times New Roman" w:hAnsi="Times New Roman" w:cs="Times New Roman"/>
          <w:kern w:val="2"/>
        </w:rPr>
        <w:pict>
          <v:shape id="_x0000_i1092" o:spt="75" type="#_x0000_t75" style="height:141.75pt;width:136.5pt;" filled="f" o:preferrelative="t" stroked="f" coordsize="21600,21600">
            <v:path/>
            <v:fill on="f" focussize="0,0"/>
            <v:stroke on="f" joinstyle="miter"/>
            <v:imagedata r:id="rId81" o:title=""/>
            <o:lock v:ext="edit" aspectratio="t"/>
            <w10:wrap type="none"/>
            <w10:anchorlock/>
          </v:shape>
        </w:pict>
      </w:r>
      <w:r>
        <w:rPr>
          <w:rFonts w:ascii="Times New Roman" w:hAnsi="Times New Roman" w:cs="Times New Roman"/>
          <w:kern w:val="2"/>
        </w:rPr>
        <w:pict>
          <v:shape id="_x0000_i1093" o:spt="75" alt="广告牌型.jpg" type="#_x0000_t75" style="height:144.75pt;width:140.25pt;" filled="f" o:preferrelative="t" stroked="f" coordsize="21600,21600">
            <v:path/>
            <v:fill on="f" focussize="0,0"/>
            <v:stroke on="f" joinstyle="miter"/>
            <v:imagedata r:id="rId82" o:title=""/>
            <o:lock v:ext="edit" aspectratio="t"/>
            <w10:wrap type="none"/>
            <w10:anchorlock/>
          </v:shape>
        </w:pict>
      </w:r>
      <w:r>
        <w:rPr>
          <w:rFonts w:ascii="Times New Roman" w:hAnsi="Times New Roman" w:cs="Times New Roman"/>
          <w:kern w:val="2"/>
        </w:rPr>
        <w:t xml:space="preserve"> </w:t>
      </w:r>
    </w:p>
    <w:p>
      <w:pPr>
        <w:jc w:val="center"/>
      </w:pPr>
    </w:p>
    <w:p>
      <w:pPr>
        <w:jc w:val="center"/>
      </w:pPr>
      <w:r>
        <w:rPr>
          <w:rFonts w:hint="eastAsia"/>
        </w:rPr>
        <w:t>特异型</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pict>
          <v:shape id="_x0000_i1094" o:spt="75" type="#_x0000_t75" style="height:144pt;width:140.25pt;" filled="f" o:preferrelative="t" stroked="f" coordsize="21600,21600">
            <v:path/>
            <v:fill on="f" focussize="0,0"/>
            <v:stroke on="f" joinstyle="miter"/>
            <v:imagedata r:id="rId83" o:title=""/>
            <o:lock v:ext="edit" aspectratio="t"/>
            <w10:wrap type="none"/>
            <w10:anchorlock/>
          </v:shape>
        </w:pict>
      </w:r>
      <w:r>
        <w:rPr>
          <w:rFonts w:ascii="Times New Roman" w:hAnsi="Times New Roman" w:cs="Times New Roman"/>
          <w:kern w:val="2"/>
        </w:rPr>
        <w:pict>
          <v:shape id="_x0000_i1095" o:spt="75" type="#_x0000_t75" style="height:136.5pt;width:135pt;" filled="f" o:preferrelative="t" stroked="f" coordsize="21600,21600">
            <v:path/>
            <v:fill on="f" focussize="0,0"/>
            <v:stroke on="f" joinstyle="miter"/>
            <v:imagedata r:id="rId84" cropleft="14519f" croptop="14181f" cropright="10525f" o:title=""/>
            <o:lock v:ext="edit" aspectratio="t"/>
            <w10:wrap type="none"/>
            <w10:anchorlock/>
          </v:shape>
        </w:pict>
      </w:r>
      <w:r>
        <w:rPr>
          <w:rFonts w:ascii="Times New Roman" w:hAnsi="Times New Roman" w:cs="Times New Roman"/>
          <w:kern w:val="2"/>
        </w:rPr>
        <w:pict>
          <v:shape id="_x0000_i1096" o:spt="75" type="#_x0000_t75" style="height:144pt;width:141.75pt;" filled="f" o:preferrelative="t" stroked="f" coordsize="21600,21600">
            <v:path/>
            <v:fill on="f" focussize="0,0"/>
            <v:stroke on="f" joinstyle="miter"/>
            <v:imagedata r:id="rId85" o:title=""/>
            <o:lock v:ext="edit" aspectratio="t"/>
            <w10:wrap type="none"/>
            <w10:anchorlock/>
          </v:shape>
        </w:pict>
      </w:r>
      <w:r>
        <w:rPr>
          <w:rFonts w:ascii="Times New Roman" w:hAnsi="Times New Roman" w:cs="Times New Roman"/>
          <w:kern w:val="2"/>
        </w:rPr>
        <w:t xml:space="preserve"> </w:t>
      </w:r>
    </w:p>
    <w:p>
      <w:pPr>
        <w:pStyle w:val="6"/>
      </w:pPr>
      <w:r>
        <w:rPr>
          <w:rFonts w:hint="eastAsia"/>
        </w:rPr>
        <w:t>美化</w:t>
      </w:r>
      <w:r>
        <w:t>5G</w:t>
      </w:r>
      <w:r>
        <w:rPr>
          <w:rFonts w:hint="eastAsia"/>
        </w:rPr>
        <w:t>综合接入机房</w:t>
      </w: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目前铁塔公司正积极推进</w:t>
      </w:r>
      <w:r>
        <w:rPr>
          <w:rFonts w:ascii="Times New Roman" w:hAnsi="Times New Roman" w:cs="Times New Roman"/>
          <w:kern w:val="2"/>
        </w:rPr>
        <w:t>5G</w:t>
      </w:r>
      <w:r>
        <w:rPr>
          <w:rFonts w:hint="eastAsia" w:ascii="Times New Roman" w:hAnsi="Times New Roman" w:cs="Times New Roman"/>
          <w:kern w:val="2"/>
        </w:rPr>
        <w:t>综合接入机房共建共享，为使</w:t>
      </w:r>
      <w:r>
        <w:rPr>
          <w:rFonts w:ascii="Times New Roman" w:hAnsi="Times New Roman" w:cs="Times New Roman"/>
          <w:kern w:val="2"/>
        </w:rPr>
        <w:t>5G</w:t>
      </w:r>
      <w:r>
        <w:rPr>
          <w:rFonts w:hint="eastAsia" w:ascii="Times New Roman" w:hAnsi="Times New Roman" w:cs="Times New Roman"/>
          <w:kern w:val="2"/>
        </w:rPr>
        <w:t>综合接入机房提高与周围环境、建筑物、人文景观等和谐度，不影响城市美观，不引起人们反感，铁塔公司从造型、色彩等方面着手，推出系列机房，使</w:t>
      </w:r>
      <w:r>
        <w:rPr>
          <w:rFonts w:ascii="Times New Roman" w:hAnsi="Times New Roman" w:cs="Times New Roman"/>
          <w:kern w:val="2"/>
        </w:rPr>
        <w:t>5G</w:t>
      </w:r>
      <w:r>
        <w:rPr>
          <w:rFonts w:hint="eastAsia" w:ascii="Times New Roman" w:hAnsi="Times New Roman" w:cs="Times New Roman"/>
          <w:kern w:val="2"/>
        </w:rPr>
        <w:t>综合接入机房融入各类环境，并可适当提高整体景观。</w:t>
      </w:r>
    </w:p>
    <w:p>
      <w:pPr>
        <w:jc w:val="center"/>
      </w:pPr>
      <w:r>
        <w:rPr>
          <w:rFonts w:hint="eastAsia"/>
        </w:rPr>
        <w:t>美化机房方案</w:t>
      </w:r>
    </w:p>
    <w:p>
      <w:pPr>
        <w:widowControl w:val="0"/>
        <w:spacing w:line="360" w:lineRule="auto"/>
        <w:ind w:left="480" w:leftChars="200"/>
        <w:jc w:val="center"/>
        <w:rPr>
          <w:rFonts w:ascii="Times New Roman" w:hAnsi="Times New Roman" w:cs="Times New Roman"/>
          <w:kern w:val="2"/>
        </w:rPr>
      </w:pPr>
      <w:r>
        <w:rPr>
          <w:rFonts w:ascii="Times New Roman" w:hAnsi="Times New Roman" w:cs="Times New Roman"/>
          <w:kern w:val="2"/>
        </w:rPr>
        <w:pict>
          <v:shape id="_x0000_i1097" o:spt="75" type="#_x0000_t75" style="height:164.25pt;width:384pt;" filled="f" o:preferrelative="t" stroked="f" coordsize="21600,21600">
            <v:path/>
            <v:fill on="f" focussize="0,0"/>
            <v:stroke on="f" joinstyle="miter"/>
            <v:imagedata r:id="rId86" o:title=""/>
            <o:lock v:ext="edit" aspectratio="t"/>
            <w10:wrap type="none"/>
            <w10:anchorlock/>
          </v:shape>
        </w:pict>
      </w:r>
    </w:p>
    <w:p>
      <w:pPr>
        <w:widowControl w:val="0"/>
        <w:spacing w:line="360" w:lineRule="auto"/>
        <w:ind w:left="480" w:leftChars="200"/>
        <w:jc w:val="center"/>
        <w:rPr>
          <w:rFonts w:ascii="Times New Roman" w:hAnsi="Times New Roman" w:cs="Times New Roman"/>
          <w:kern w:val="2"/>
        </w:rPr>
      </w:pPr>
      <w:r>
        <w:rPr>
          <w:rFonts w:ascii="Times New Roman" w:hAnsi="Times New Roman" w:cs="Times New Roman"/>
          <w:kern w:val="2"/>
        </w:rPr>
        <w:pict>
          <v:shape id="_x0000_i1098" o:spt="75" type="#_x0000_t75" style="height:163.5pt;width:384pt;" filled="f" o:preferrelative="t" stroked="f" coordsize="21600,21600">
            <v:path/>
            <v:fill on="f" focussize="0,0"/>
            <v:stroke on="f" joinstyle="miter"/>
            <v:imagedata r:id="rId87" o:title=""/>
            <o:lock v:ext="edit" aspectratio="t"/>
            <w10:wrap type="none"/>
            <w10:anchorlock/>
          </v:shape>
        </w:pict>
      </w:r>
    </w:p>
    <w:p>
      <w:pPr>
        <w:widowControl w:val="0"/>
        <w:spacing w:line="360" w:lineRule="auto"/>
        <w:ind w:firstLine="240" w:firstLineChars="100"/>
        <w:jc w:val="center"/>
        <w:rPr>
          <w:rFonts w:ascii="Times New Roman" w:hAnsi="Times New Roman" w:cs="Times New Roman"/>
          <w:kern w:val="2"/>
        </w:rPr>
      </w:pPr>
      <w:r>
        <w:rPr>
          <w:rFonts w:ascii="Times New Roman" w:hAnsi="Times New Roman" w:cs="Times New Roman"/>
          <w:kern w:val="2"/>
        </w:rPr>
        <w:pict>
          <v:shape id="_x0000_i1099" o:spt="75" type="#_x0000_t75" style="height:161.25pt;width:388.5pt;" filled="f" o:preferrelative="t" stroked="f" coordsize="21600,21600">
            <v:path/>
            <v:fill on="f" focussize="0,0"/>
            <v:stroke on="f" joinstyle="miter"/>
            <v:imagedata r:id="rId88" o:title=""/>
            <o:lock v:ext="edit" aspectratio="t"/>
            <w10:wrap type="none"/>
            <w10:anchorlock/>
          </v:shape>
        </w:pict>
      </w:r>
    </w:p>
    <w:p>
      <w:pPr>
        <w:widowControl w:val="0"/>
        <w:spacing w:line="360" w:lineRule="auto"/>
        <w:jc w:val="center"/>
        <w:rPr>
          <w:rFonts w:ascii="Times New Roman" w:hAnsi="Times New Roman" w:cs="Times New Roman"/>
          <w:kern w:val="2"/>
        </w:rPr>
      </w:pPr>
      <w:r>
        <w:rPr>
          <w:rFonts w:ascii="Times New Roman" w:hAnsi="Times New Roman" w:cs="Times New Roman"/>
          <w:kern w:val="2"/>
        </w:rPr>
        <w:pict>
          <v:shape id="_x0000_i1100" o:spt="75" type="#_x0000_t75" style="height:161.25pt;width:386.25pt;" filled="f" o:preferrelative="t" stroked="f" coordsize="21600,21600">
            <v:path/>
            <v:fill on="f" focussize="0,0"/>
            <v:stroke on="f" joinstyle="miter"/>
            <v:imagedata r:id="rId89" o:title=""/>
            <o:lock v:ext="edit" aspectratio="t"/>
            <w10:wrap type="none"/>
            <w10:anchorlock/>
          </v:shape>
        </w:pict>
      </w:r>
    </w:p>
    <w:p>
      <w:pPr>
        <w:widowControl w:val="0"/>
        <w:spacing w:line="360" w:lineRule="auto"/>
        <w:jc w:val="center"/>
        <w:rPr>
          <w:rFonts w:ascii="Times New Roman" w:hAnsi="Times New Roman" w:cs="Times New Roman"/>
          <w:kern w:val="2"/>
        </w:rPr>
      </w:pPr>
      <w:r>
        <w:rPr>
          <w:rFonts w:ascii="Times New Roman" w:hAnsi="Times New Roman" w:cs="Times New Roman"/>
          <w:kern w:val="2"/>
        </w:rPr>
        <w:pict>
          <v:shape id="_x0000_i1101" o:spt="75" type="#_x0000_t75" style="height:164.25pt;width:384pt;" filled="f" o:preferrelative="t" stroked="f" coordsize="21600,21600">
            <v:path/>
            <v:fill on="f" focussize="0,0"/>
            <v:stroke on="f" joinstyle="miter"/>
            <v:imagedata r:id="rId18" o:title=""/>
            <o:lock v:ext="edit" aspectratio="t"/>
            <w10:wrap type="none"/>
            <w10:anchorlock/>
          </v:shape>
        </w:pict>
      </w:r>
    </w:p>
    <w:p>
      <w:pPr>
        <w:widowControl w:val="0"/>
        <w:spacing w:line="360" w:lineRule="auto"/>
        <w:jc w:val="center"/>
        <w:rPr>
          <w:rFonts w:ascii="Times New Roman" w:hAnsi="Times New Roman" w:cs="Times New Roman"/>
          <w:kern w:val="2"/>
        </w:rPr>
      </w:pPr>
      <w:r>
        <w:rPr>
          <w:rFonts w:ascii="Times New Roman" w:hAnsi="Times New Roman" w:cs="Times New Roman"/>
          <w:kern w:val="2"/>
        </w:rPr>
        <w:pict>
          <v:shape id="_x0000_i1102" o:spt="75" type="#_x0000_t75" style="height:164.25pt;width:385.5pt;" filled="f" o:preferrelative="t" stroked="f" coordsize="21600,21600">
            <v:path/>
            <v:fill on="f" focussize="0,0"/>
            <v:stroke on="f" joinstyle="miter"/>
            <v:imagedata r:id="rId19" o:title=""/>
            <o:lock v:ext="edit" aspectratio="t"/>
            <w10:wrap type="none"/>
            <w10:anchorlock/>
          </v:shape>
        </w:pict>
      </w:r>
    </w:p>
    <w:p>
      <w:pPr>
        <w:pStyle w:val="5"/>
      </w:pPr>
      <w:bookmarkStart w:id="194" w:name="_Toc56092788"/>
      <w:r>
        <w:rPr>
          <w:rFonts w:hint="eastAsia"/>
        </w:rPr>
        <w:t>规划基站安全距离</w:t>
      </w:r>
      <w:bookmarkEnd w:id="194"/>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基站选址时，必须保证与其它设施、周围环境的安全间距，以确保基站的通信安全，同时保证基站对其它设施、周围环境的影响，控制在国家法规允许的范围内。移动基站选址与其他行业建</w:t>
      </w:r>
      <w:r>
        <w:rPr>
          <w:rFonts w:ascii="Times New Roman" w:hAnsi="Times New Roman" w:cs="Times New Roman"/>
          <w:kern w:val="2"/>
        </w:rPr>
        <w:t>(</w:t>
      </w:r>
      <w:r>
        <w:rPr>
          <w:rFonts w:hint="eastAsia" w:ascii="Times New Roman" w:hAnsi="Times New Roman" w:cs="Times New Roman"/>
          <w:kern w:val="2"/>
        </w:rPr>
        <w:t>构</w:t>
      </w:r>
      <w:r>
        <w:rPr>
          <w:rFonts w:ascii="Times New Roman" w:hAnsi="Times New Roman" w:cs="Times New Roman"/>
          <w:kern w:val="2"/>
        </w:rPr>
        <w:t>)</w:t>
      </w:r>
      <w:r>
        <w:rPr>
          <w:rFonts w:hint="eastAsia" w:ascii="Times New Roman" w:hAnsi="Times New Roman" w:cs="Times New Roman"/>
          <w:kern w:val="2"/>
        </w:rPr>
        <w:t>筑物安全距离的相关规定，除满足无线覆盖外，必须遵从国家或地方法规规定的与其他建</w:t>
      </w:r>
      <w:r>
        <w:rPr>
          <w:rFonts w:ascii="Times New Roman" w:hAnsi="Times New Roman" w:cs="Times New Roman"/>
          <w:kern w:val="2"/>
        </w:rPr>
        <w:t>(</w:t>
      </w:r>
      <w:r>
        <w:rPr>
          <w:rFonts w:hint="eastAsia" w:ascii="Times New Roman" w:hAnsi="Times New Roman" w:cs="Times New Roman"/>
          <w:kern w:val="2"/>
        </w:rPr>
        <w:t>构</w:t>
      </w:r>
      <w:r>
        <w:rPr>
          <w:rFonts w:ascii="Times New Roman" w:hAnsi="Times New Roman" w:cs="Times New Roman"/>
          <w:kern w:val="2"/>
        </w:rPr>
        <w:t>)</w:t>
      </w:r>
      <w:r>
        <w:rPr>
          <w:rFonts w:hint="eastAsia" w:ascii="Times New Roman" w:hAnsi="Times New Roman" w:cs="Times New Roman"/>
          <w:kern w:val="2"/>
        </w:rPr>
        <w:t>筑物的安全距离。</w:t>
      </w:r>
    </w:p>
    <w:p>
      <w:pPr>
        <w:pStyle w:val="6"/>
        <w:numPr>
          <w:ilvl w:val="0"/>
          <w:numId w:val="45"/>
        </w:numPr>
      </w:pPr>
      <w:r>
        <w:rPr>
          <w:rFonts w:hint="eastAsia"/>
        </w:rPr>
        <w:t>基站与公路距离</w:t>
      </w:r>
    </w:p>
    <w:p>
      <w:pPr>
        <w:pStyle w:val="7"/>
        <w:numPr>
          <w:ilvl w:val="0"/>
          <w:numId w:val="46"/>
        </w:numPr>
        <w:snapToGrid w:val="0"/>
        <w:spacing w:line="360" w:lineRule="auto"/>
        <w:ind w:firstLineChars="0"/>
        <w:contextualSpacing/>
        <w:rPr>
          <w:rFonts w:ascii="Times New Roman" w:hAnsi="Times New Roman"/>
          <w:sz w:val="24"/>
          <w:szCs w:val="24"/>
        </w:rPr>
      </w:pPr>
      <w:r>
        <w:rPr>
          <w:rFonts w:hint="eastAsia" w:ascii="Times New Roman" w:hAnsi="Times New Roman"/>
          <w:sz w:val="24"/>
          <w:szCs w:val="24"/>
        </w:rPr>
        <w:t>《中华人民共和国公路法》</w:t>
      </w:r>
      <w:r>
        <w:rPr>
          <w:rFonts w:ascii="Times New Roman" w:hAnsi="Times New Roman"/>
          <w:sz w:val="24"/>
          <w:szCs w:val="24"/>
        </w:rPr>
        <w:t>(2016)</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第五十六条</w:t>
      </w:r>
      <w:r>
        <w:rPr>
          <w:rFonts w:ascii="Times New Roman" w:hAnsi="Times New Roman" w:cs="Times New Roman"/>
          <w:kern w:val="2"/>
        </w:rPr>
        <w:t xml:space="preserve"> </w:t>
      </w:r>
      <w:r>
        <w:rPr>
          <w:rFonts w:hint="eastAsia" w:ascii="Times New Roman" w:hAnsi="Times New Roman" w:cs="Times New Roman"/>
          <w:kern w:val="2"/>
        </w:rPr>
        <w:t>除公路防护、养护需要的以外，禁止在公路两侧的建筑控制区内修建建筑物和地面构筑物</w:t>
      </w:r>
      <w:r>
        <w:rPr>
          <w:rFonts w:ascii="Times New Roman" w:hAnsi="Times New Roman" w:cs="Times New Roman"/>
          <w:kern w:val="2"/>
        </w:rPr>
        <w:t>;</w:t>
      </w:r>
      <w:r>
        <w:rPr>
          <w:rFonts w:hint="eastAsia" w:ascii="Times New Roman" w:hAnsi="Times New Roman" w:cs="Times New Roman"/>
          <w:kern w:val="2"/>
        </w:rPr>
        <w:t>需要在建筑控制区内埋设管线、电缆等设施的，应当事先经县级以上地方人民政府交通主管部门批准。</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前款规定的建筑控制区的范围，由县级以上地方人民政府按照保障公路运行安全和节约用地的原则，依照国务院的规定划定。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建筑控制区范围经县级以上地方人民政府依照前款规定划定后，由县级以上地方人民政府交通主管部门设置标桩、界桩。任何单位和个人不得损坏、擅自挪动该标桩、界桩。</w:t>
      </w:r>
    </w:p>
    <w:p>
      <w:pPr>
        <w:pStyle w:val="7"/>
        <w:numPr>
          <w:ilvl w:val="0"/>
          <w:numId w:val="46"/>
        </w:numPr>
        <w:snapToGrid w:val="0"/>
        <w:spacing w:line="360" w:lineRule="auto"/>
        <w:ind w:firstLineChars="0"/>
        <w:contextualSpacing/>
        <w:rPr>
          <w:rFonts w:ascii="Times New Roman" w:hAnsi="Times New Roman"/>
          <w:sz w:val="24"/>
          <w:szCs w:val="24"/>
        </w:rPr>
      </w:pPr>
      <w:r>
        <w:rPr>
          <w:rFonts w:hint="eastAsia" w:ascii="Times New Roman" w:hAnsi="Times New Roman"/>
          <w:sz w:val="24"/>
          <w:szCs w:val="24"/>
        </w:rPr>
        <w:t>《公路安全保护条例》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基站建设安全距离需符合</w:t>
      </w:r>
      <w:r>
        <w:rPr>
          <w:rFonts w:ascii="Times New Roman" w:hAnsi="Times New Roman" w:cs="Times New Roman"/>
          <w:kern w:val="2"/>
        </w:rPr>
        <w:t>2011</w:t>
      </w:r>
      <w:r>
        <w:rPr>
          <w:rFonts w:hint="eastAsia" w:ascii="Times New Roman" w:hAnsi="Times New Roman" w:cs="Times New Roman"/>
          <w:kern w:val="2"/>
        </w:rPr>
        <w:t>年</w:t>
      </w:r>
      <w:r>
        <w:rPr>
          <w:rFonts w:ascii="Times New Roman" w:hAnsi="Times New Roman" w:cs="Times New Roman"/>
          <w:kern w:val="2"/>
        </w:rPr>
        <w:t>7</w:t>
      </w:r>
      <w:r>
        <w:rPr>
          <w:rFonts w:hint="eastAsia" w:ascii="Times New Roman" w:hAnsi="Times New Roman" w:cs="Times New Roman"/>
          <w:kern w:val="2"/>
        </w:rPr>
        <w:t>月</w:t>
      </w:r>
      <w:r>
        <w:rPr>
          <w:rFonts w:ascii="Times New Roman" w:hAnsi="Times New Roman" w:cs="Times New Roman"/>
          <w:kern w:val="2"/>
        </w:rPr>
        <w:t>1</w:t>
      </w:r>
      <w:r>
        <w:rPr>
          <w:rFonts w:hint="eastAsia" w:ascii="Times New Roman" w:hAnsi="Times New Roman" w:cs="Times New Roman"/>
          <w:kern w:val="2"/>
        </w:rPr>
        <w:t>日起施行的中华人民共和国国务院令第</w:t>
      </w:r>
      <w:r>
        <w:rPr>
          <w:rFonts w:ascii="Times New Roman" w:hAnsi="Times New Roman" w:cs="Times New Roman"/>
          <w:kern w:val="2"/>
        </w:rPr>
        <w:t>593</w:t>
      </w:r>
      <w:r>
        <w:rPr>
          <w:rFonts w:hint="eastAsia" w:ascii="Times New Roman" w:hAnsi="Times New Roman" w:cs="Times New Roman"/>
          <w:kern w:val="2"/>
        </w:rPr>
        <w:t>号《公路安全保护条例》：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第十一条　县级以上地方人民政府应当根据保障公路运行安全和节约用地的原则以及公路发展的需要，组织交通运输、国土资源等部门划定公路建筑控制区的范围。</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公路建筑控制区的范围，从公路用地外缘起向外的距离标准为：</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　　</w:t>
      </w:r>
      <w:r>
        <w:rPr>
          <w:rFonts w:ascii="Times New Roman" w:hAnsi="Times New Roman" w:cs="Times New Roman"/>
          <w:kern w:val="2"/>
        </w:rPr>
        <w:t>(</w:t>
      </w:r>
      <w:r>
        <w:rPr>
          <w:rFonts w:hint="eastAsia" w:ascii="Times New Roman" w:hAnsi="Times New Roman" w:cs="Times New Roman"/>
          <w:kern w:val="2"/>
        </w:rPr>
        <w:t>一</w:t>
      </w:r>
      <w:r>
        <w:rPr>
          <w:rFonts w:ascii="Times New Roman" w:hAnsi="Times New Roman" w:cs="Times New Roman"/>
          <w:kern w:val="2"/>
        </w:rPr>
        <w:t>)</w:t>
      </w:r>
      <w:r>
        <w:rPr>
          <w:rFonts w:hint="eastAsia" w:ascii="Times New Roman" w:hAnsi="Times New Roman" w:cs="Times New Roman"/>
          <w:kern w:val="2"/>
        </w:rPr>
        <w:t>国道不少于</w:t>
      </w:r>
      <w:r>
        <w:rPr>
          <w:rFonts w:ascii="Times New Roman" w:hAnsi="Times New Roman" w:cs="Times New Roman"/>
          <w:kern w:val="2"/>
        </w:rPr>
        <w:t>20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　　</w:t>
      </w:r>
      <w:r>
        <w:rPr>
          <w:rFonts w:ascii="Times New Roman" w:hAnsi="Times New Roman" w:cs="Times New Roman"/>
          <w:kern w:val="2"/>
        </w:rPr>
        <w:t>(</w:t>
      </w:r>
      <w:r>
        <w:rPr>
          <w:rFonts w:hint="eastAsia" w:ascii="Times New Roman" w:hAnsi="Times New Roman" w:cs="Times New Roman"/>
          <w:kern w:val="2"/>
        </w:rPr>
        <w:t>二</w:t>
      </w:r>
      <w:r>
        <w:rPr>
          <w:rFonts w:ascii="Times New Roman" w:hAnsi="Times New Roman" w:cs="Times New Roman"/>
          <w:kern w:val="2"/>
        </w:rPr>
        <w:t>)</w:t>
      </w:r>
      <w:r>
        <w:rPr>
          <w:rFonts w:hint="eastAsia" w:ascii="Times New Roman" w:hAnsi="Times New Roman" w:cs="Times New Roman"/>
          <w:kern w:val="2"/>
        </w:rPr>
        <w:t>省道不少于</w:t>
      </w:r>
      <w:r>
        <w:rPr>
          <w:rFonts w:ascii="Times New Roman" w:hAnsi="Times New Roman" w:cs="Times New Roman"/>
          <w:kern w:val="2"/>
        </w:rPr>
        <w:t>15</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　　</w:t>
      </w:r>
      <w:r>
        <w:rPr>
          <w:rFonts w:ascii="Times New Roman" w:hAnsi="Times New Roman" w:cs="Times New Roman"/>
          <w:kern w:val="2"/>
        </w:rPr>
        <w:t>(</w:t>
      </w:r>
      <w:r>
        <w:rPr>
          <w:rFonts w:hint="eastAsia" w:ascii="Times New Roman" w:hAnsi="Times New Roman" w:cs="Times New Roman"/>
          <w:kern w:val="2"/>
        </w:rPr>
        <w:t>三</w:t>
      </w:r>
      <w:r>
        <w:rPr>
          <w:rFonts w:ascii="Times New Roman" w:hAnsi="Times New Roman" w:cs="Times New Roman"/>
          <w:kern w:val="2"/>
        </w:rPr>
        <w:t>)</w:t>
      </w:r>
      <w:r>
        <w:rPr>
          <w:rFonts w:hint="eastAsia" w:ascii="Times New Roman" w:hAnsi="Times New Roman" w:cs="Times New Roman"/>
          <w:kern w:val="2"/>
        </w:rPr>
        <w:t>县道不少于</w:t>
      </w:r>
      <w:r>
        <w:rPr>
          <w:rFonts w:ascii="Times New Roman" w:hAnsi="Times New Roman" w:cs="Times New Roman"/>
          <w:kern w:val="2"/>
        </w:rPr>
        <w:t>10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　　</w:t>
      </w:r>
      <w:r>
        <w:rPr>
          <w:rFonts w:ascii="Times New Roman" w:hAnsi="Times New Roman" w:cs="Times New Roman"/>
          <w:kern w:val="2"/>
        </w:rPr>
        <w:t>(</w:t>
      </w:r>
      <w:r>
        <w:rPr>
          <w:rFonts w:hint="eastAsia" w:ascii="Times New Roman" w:hAnsi="Times New Roman" w:cs="Times New Roman"/>
          <w:kern w:val="2"/>
        </w:rPr>
        <w:t>四</w:t>
      </w:r>
      <w:r>
        <w:rPr>
          <w:rFonts w:ascii="Times New Roman" w:hAnsi="Times New Roman" w:cs="Times New Roman"/>
          <w:kern w:val="2"/>
        </w:rPr>
        <w:t>)</w:t>
      </w:r>
      <w:r>
        <w:rPr>
          <w:rFonts w:hint="eastAsia" w:ascii="Times New Roman" w:hAnsi="Times New Roman" w:cs="Times New Roman"/>
          <w:kern w:val="2"/>
        </w:rPr>
        <w:t>乡道不少于</w:t>
      </w:r>
      <w:r>
        <w:rPr>
          <w:rFonts w:ascii="Times New Roman" w:hAnsi="Times New Roman" w:cs="Times New Roman"/>
          <w:kern w:val="2"/>
        </w:rPr>
        <w:t>5</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属于高速公路的，公路建筑控制区的范围从公路用地外缘起向外的距离标准不少于</w:t>
      </w:r>
      <w:r>
        <w:rPr>
          <w:rFonts w:ascii="Times New Roman" w:hAnsi="Times New Roman" w:cs="Times New Roman"/>
          <w:kern w:val="2"/>
        </w:rPr>
        <w:t>30</w:t>
      </w:r>
      <w:r>
        <w:rPr>
          <w:rFonts w:hint="eastAsia" w:ascii="Times New Roman" w:hAnsi="Times New Roman" w:cs="Times New Roman"/>
          <w:kern w:val="2"/>
        </w:rPr>
        <w:t>米。公路弯道内侧、互通立交以及平面交叉道口的建筑控制区范围根据安全视距等要求确定。另外，还需确保距离高速公路栅栏一个塔高距离。或征得高速公路或省公路路政主管部门同意。</w:t>
      </w:r>
    </w:p>
    <w:p>
      <w:pPr>
        <w:pStyle w:val="6"/>
      </w:pPr>
      <w:r>
        <w:rPr>
          <w:rFonts w:hint="eastAsia"/>
        </w:rPr>
        <w:t>基站与易燃易爆加油站、油库距离</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在油库、加油站附近选址时，不仅要考虑油库、加油站可能发生泄露引起的燃烧、爆炸事故，还要考虑基站杆塔倒伏间距及遭雷击可能产生的危害。基站建设安全距离需符合《汽车加油加气站设计与施工规范》</w:t>
      </w:r>
      <w:r>
        <w:rPr>
          <w:rFonts w:ascii="Times New Roman" w:hAnsi="Times New Roman" w:cs="Times New Roman"/>
          <w:kern w:val="2"/>
        </w:rPr>
        <w:t>GB 50156-2012</w:t>
      </w:r>
      <w:r>
        <w:rPr>
          <w:rFonts w:hint="eastAsia" w:ascii="Times New Roman" w:hAnsi="Times New Roman" w:cs="Times New Roman"/>
          <w:kern w:val="2"/>
        </w:rPr>
        <w:t>加油站的等级划分，来满足相关规定：</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加油加气站与基站选址的距离要求：参照《汽车加油加气站设计与施工规范》，基站机房可参照该规范中民用建筑保护类别的二类保护物进行设防，其防火间距在</w:t>
      </w:r>
      <w:r>
        <w:rPr>
          <w:rFonts w:ascii="Times New Roman" w:hAnsi="Times New Roman" w:cs="Times New Roman"/>
          <w:kern w:val="2"/>
        </w:rPr>
        <w:t>12</w:t>
      </w:r>
      <w:r>
        <w:rPr>
          <w:rFonts w:hint="eastAsia" w:ascii="Times New Roman" w:hAnsi="Times New Roman" w:cs="Times New Roman"/>
          <w:kern w:val="2"/>
        </w:rPr>
        <w:t>～</w:t>
      </w:r>
      <w:r>
        <w:rPr>
          <w:rFonts w:ascii="Times New Roman" w:hAnsi="Times New Roman" w:cs="Times New Roman"/>
          <w:kern w:val="2"/>
        </w:rPr>
        <w:t>20</w:t>
      </w:r>
      <w:r>
        <w:rPr>
          <w:rFonts w:hint="eastAsia" w:ascii="Times New Roman" w:hAnsi="Times New Roman" w:cs="Times New Roman"/>
          <w:kern w:val="2"/>
        </w:rPr>
        <w:t>米之间。油罐、加油机和通气管管口与站外建、构筑物的防火距离，不小于</w:t>
      </w:r>
      <w:r>
        <w:rPr>
          <w:rFonts w:ascii="Times New Roman" w:hAnsi="Times New Roman" w:cs="Times New Roman"/>
          <w:kern w:val="2"/>
        </w:rPr>
        <w:t>50</w:t>
      </w:r>
      <w:r>
        <w:rPr>
          <w:rFonts w:hint="eastAsia" w:ascii="Times New Roman" w:hAnsi="Times New Roman" w:cs="Times New Roman"/>
          <w:kern w:val="2"/>
        </w:rPr>
        <w:t>米。液化石油气罐与站外建、构筑物的防火距离，不小于</w:t>
      </w:r>
      <w:r>
        <w:rPr>
          <w:rFonts w:ascii="Times New Roman" w:hAnsi="Times New Roman" w:cs="Times New Roman"/>
          <w:kern w:val="2"/>
        </w:rPr>
        <w:t>100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基站杆塔可参照该规范中架空通信线</w:t>
      </w:r>
      <w:r>
        <w:rPr>
          <w:rFonts w:ascii="Times New Roman" w:hAnsi="Times New Roman" w:cs="Times New Roman"/>
          <w:kern w:val="2"/>
        </w:rPr>
        <w:t>1.5</w:t>
      </w:r>
      <w:r>
        <w:rPr>
          <w:rFonts w:hint="eastAsia" w:ascii="Times New Roman" w:hAnsi="Times New Roman" w:cs="Times New Roman"/>
          <w:kern w:val="2"/>
        </w:rPr>
        <w:t>倍至</w:t>
      </w:r>
      <w:r>
        <w:rPr>
          <w:rFonts w:ascii="Times New Roman" w:hAnsi="Times New Roman" w:cs="Times New Roman"/>
          <w:kern w:val="2"/>
        </w:rPr>
        <w:t>1</w:t>
      </w:r>
      <w:r>
        <w:rPr>
          <w:rFonts w:hint="eastAsia" w:ascii="Times New Roman" w:hAnsi="Times New Roman" w:cs="Times New Roman"/>
          <w:kern w:val="2"/>
        </w:rPr>
        <w:t>倍杆高的相关规定。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由于基站的杆塔容易遭雷击，因此在考虑基站杆塔倒伏间距的同时，必须考虑基站杆塔遭雷击可能产生的危害，所以基站的最小安全间距应控制在不小于</w:t>
      </w:r>
      <w:r>
        <w:rPr>
          <w:rFonts w:ascii="Times New Roman" w:hAnsi="Times New Roman" w:cs="Times New Roman"/>
          <w:kern w:val="2"/>
        </w:rPr>
        <w:t>4</w:t>
      </w: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杆高，安全距离应不少于</w:t>
      </w:r>
      <w:r>
        <w:rPr>
          <w:rFonts w:ascii="Times New Roman" w:hAnsi="Times New Roman" w:cs="Times New Roman"/>
          <w:kern w:val="2"/>
        </w:rPr>
        <w:t>50</w:t>
      </w:r>
      <w:r>
        <w:rPr>
          <w:rFonts w:hint="eastAsia" w:ascii="Times New Roman" w:hAnsi="Times New Roman" w:cs="Times New Roman"/>
          <w:kern w:val="2"/>
        </w:rPr>
        <w:t>米。</w:t>
      </w:r>
    </w:p>
    <w:p>
      <w:pPr>
        <w:pStyle w:val="6"/>
      </w:pPr>
      <w:r>
        <w:rPr>
          <w:rFonts w:hint="eastAsia"/>
        </w:rPr>
        <w:t>基站与高压油管、天然气管、燃气管距离</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基站建设安全距离需符合在</w:t>
      </w:r>
      <w:r>
        <w:rPr>
          <w:rFonts w:ascii="Times New Roman" w:hAnsi="Times New Roman" w:cs="Times New Roman"/>
          <w:kern w:val="2"/>
        </w:rPr>
        <w:t>2007</w:t>
      </w:r>
      <w:r>
        <w:rPr>
          <w:rFonts w:hint="eastAsia" w:ascii="Times New Roman" w:hAnsi="Times New Roman" w:cs="Times New Roman"/>
          <w:kern w:val="2"/>
        </w:rPr>
        <w:t>年信息产业部综合规划司编制的《工程建设标准强制性条文</w:t>
      </w:r>
      <w:r>
        <w:rPr>
          <w:rFonts w:ascii="Times New Roman" w:hAnsi="Times New Roman" w:cs="Times New Roman"/>
          <w:kern w:val="2"/>
        </w:rPr>
        <w:t>(</w:t>
      </w:r>
      <w:r>
        <w:rPr>
          <w:rFonts w:hint="eastAsia" w:ascii="Times New Roman" w:hAnsi="Times New Roman" w:cs="Times New Roman"/>
          <w:kern w:val="2"/>
        </w:rPr>
        <w:t>信息工程部分</w:t>
      </w:r>
      <w:r>
        <w:rPr>
          <w:rFonts w:ascii="Times New Roman" w:hAnsi="Times New Roman" w:cs="Times New Roman"/>
          <w:kern w:val="2"/>
        </w:rPr>
        <w:t>)</w:t>
      </w:r>
      <w:r>
        <w:rPr>
          <w:rFonts w:hint="eastAsia" w:ascii="Times New Roman" w:hAnsi="Times New Roman" w:cs="Times New Roman"/>
          <w:kern w:val="2"/>
        </w:rPr>
        <w:t>宣贯辅导材料》中第</w:t>
      </w:r>
      <w:r>
        <w:rPr>
          <w:rFonts w:ascii="Times New Roman" w:hAnsi="Times New Roman" w:cs="Times New Roman"/>
          <w:kern w:val="2"/>
        </w:rPr>
        <w:t>9</w:t>
      </w:r>
      <w:r>
        <w:rPr>
          <w:rFonts w:hint="eastAsia" w:ascii="Times New Roman" w:hAnsi="Times New Roman" w:cs="Times New Roman"/>
          <w:kern w:val="2"/>
        </w:rPr>
        <w:t>页。</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基站在地下管道附近选址时，应考虑管道可能发生泄露引起的燃烧、爆炸等事故，同时考虑杆塔遭雷击可能产生的危害，建议将安全距离控制在</w:t>
      </w:r>
      <w:r>
        <w:rPr>
          <w:rFonts w:ascii="Times New Roman" w:hAnsi="Times New Roman" w:cs="Times New Roman"/>
          <w:kern w:val="2"/>
        </w:rPr>
        <w:t>50</w:t>
      </w:r>
      <w:r>
        <w:rPr>
          <w:rFonts w:hint="eastAsia" w:ascii="Times New Roman" w:hAnsi="Times New Roman" w:cs="Times New Roman"/>
          <w:kern w:val="2"/>
        </w:rPr>
        <w:t>米以上。如果上述管道因特殊情况设置在露天，则站址应考虑杆塔倒伏后可能压到管道的情况，同时考虑基站遭雷击可能产生的危害，因此基站的最小安全间距应控制在不小于</w:t>
      </w:r>
      <w:r>
        <w:rPr>
          <w:rFonts w:ascii="Times New Roman" w:hAnsi="Times New Roman" w:cs="Times New Roman"/>
          <w:kern w:val="2"/>
        </w:rPr>
        <w:t>4/3</w:t>
      </w:r>
      <w:r>
        <w:rPr>
          <w:rFonts w:hint="eastAsia" w:ascii="Times New Roman" w:hAnsi="Times New Roman" w:cs="Times New Roman"/>
          <w:kern w:val="2"/>
        </w:rPr>
        <w:t>杆高，安全距离应不少于</w:t>
      </w:r>
      <w:r>
        <w:rPr>
          <w:rFonts w:ascii="Times New Roman" w:hAnsi="Times New Roman" w:cs="Times New Roman"/>
          <w:kern w:val="2"/>
        </w:rPr>
        <w:t>50</w:t>
      </w:r>
      <w:r>
        <w:rPr>
          <w:rFonts w:hint="eastAsia" w:ascii="Times New Roman" w:hAnsi="Times New Roman" w:cs="Times New Roman"/>
          <w:kern w:val="2"/>
        </w:rPr>
        <w:t>米。</w:t>
      </w:r>
    </w:p>
    <w:p>
      <w:pPr>
        <w:pStyle w:val="6"/>
      </w:pPr>
      <w:r>
        <w:rPr>
          <w:rFonts w:hint="eastAsia"/>
        </w:rPr>
        <w:t>基站与高压线距离</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基站建设安全距离需符合《电力设施保护条例》（</w:t>
      </w:r>
      <w:r>
        <w:rPr>
          <w:rFonts w:ascii="Times New Roman" w:hAnsi="Times New Roman" w:cs="Times New Roman"/>
          <w:kern w:val="2"/>
        </w:rPr>
        <w:t>2011</w:t>
      </w:r>
      <w:r>
        <w:rPr>
          <w:rFonts w:hint="eastAsia" w:ascii="Times New Roman" w:hAnsi="Times New Roman" w:cs="Times New Roman"/>
          <w:kern w:val="2"/>
        </w:rPr>
        <w:t>年修正），对电力线路保护区做出了规定。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《电力设施保护条例实施细则》对高压架空电力线与建筑物的安全间距进行的详细说明。</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第五条</w:t>
      </w:r>
      <w:r>
        <w:rPr>
          <w:rFonts w:ascii="Times New Roman" w:hAnsi="Times New Roman" w:cs="Times New Roman"/>
          <w:kern w:val="2"/>
        </w:rPr>
        <w:t xml:space="preserve"> </w:t>
      </w:r>
      <w:r>
        <w:rPr>
          <w:rFonts w:hint="eastAsia" w:ascii="Times New Roman" w:hAnsi="Times New Roman" w:cs="Times New Roman"/>
          <w:kern w:val="2"/>
        </w:rPr>
        <w:t>架空电力线路保护区，是为了保护已建架空电力线路的安全运行和保障人民生活的正常供电而必须设置的安全区域。在厂矿、城镇、集镇、村庄等人口密集地区，架空电力线路保护区为导线边线在最大计算风偏后的水平距离和风偏后距建筑物的水平安全距离之和所形成的两平行线内的区域。</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各级电压导线边线在计算导线最大风偏情况下，距建筑物的水平安全距离如下：</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l</w:t>
      </w:r>
      <w:r>
        <w:rPr>
          <w:rFonts w:hint="eastAsia" w:ascii="Times New Roman" w:hAnsi="Times New Roman" w:cs="Times New Roman"/>
          <w:kern w:val="2"/>
        </w:rPr>
        <w:t>千伏以下</w:t>
      </w:r>
      <w:r>
        <w:rPr>
          <w:rFonts w:ascii="Times New Roman" w:hAnsi="Times New Roman" w:cs="Times New Roman"/>
          <w:kern w:val="2"/>
        </w:rPr>
        <w:t xml:space="preserve">              1.0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1—10</w:t>
      </w:r>
      <w:r>
        <w:rPr>
          <w:rFonts w:hint="eastAsia" w:ascii="Times New Roman" w:hAnsi="Times New Roman" w:cs="Times New Roman"/>
          <w:kern w:val="2"/>
        </w:rPr>
        <w:t>千伏</w:t>
      </w:r>
      <w:r>
        <w:rPr>
          <w:rFonts w:ascii="Times New Roman" w:hAnsi="Times New Roman" w:cs="Times New Roman"/>
          <w:kern w:val="2"/>
        </w:rPr>
        <w:t xml:space="preserve">              1.5</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35</w:t>
      </w:r>
      <w:r>
        <w:rPr>
          <w:rFonts w:hint="eastAsia" w:ascii="Times New Roman" w:hAnsi="Times New Roman" w:cs="Times New Roman"/>
          <w:kern w:val="2"/>
        </w:rPr>
        <w:t>千伏</w:t>
      </w:r>
      <w:r>
        <w:rPr>
          <w:rFonts w:ascii="Times New Roman" w:hAnsi="Times New Roman" w:cs="Times New Roman"/>
          <w:kern w:val="2"/>
        </w:rPr>
        <w:t xml:space="preserve">                 3.0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66</w:t>
      </w:r>
      <w:r>
        <w:rPr>
          <w:rFonts w:hint="eastAsia" w:ascii="Times New Roman" w:hAnsi="Times New Roman" w:cs="Times New Roman"/>
          <w:kern w:val="2"/>
        </w:rPr>
        <w:t>～</w:t>
      </w:r>
      <w:r>
        <w:rPr>
          <w:rFonts w:ascii="Times New Roman" w:hAnsi="Times New Roman" w:cs="Times New Roman"/>
          <w:kern w:val="2"/>
        </w:rPr>
        <w:t>110</w:t>
      </w:r>
      <w:r>
        <w:rPr>
          <w:rFonts w:hint="eastAsia" w:ascii="Times New Roman" w:hAnsi="Times New Roman" w:cs="Times New Roman"/>
          <w:kern w:val="2"/>
        </w:rPr>
        <w:t>千伏</w:t>
      </w:r>
      <w:r>
        <w:rPr>
          <w:rFonts w:ascii="Times New Roman" w:hAnsi="Times New Roman" w:cs="Times New Roman"/>
          <w:kern w:val="2"/>
        </w:rPr>
        <w:t xml:space="preserve">            4.0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154—220</w:t>
      </w:r>
      <w:r>
        <w:rPr>
          <w:rFonts w:hint="eastAsia" w:ascii="Times New Roman" w:hAnsi="Times New Roman" w:cs="Times New Roman"/>
          <w:kern w:val="2"/>
        </w:rPr>
        <w:t>千伏</w:t>
      </w:r>
      <w:r>
        <w:rPr>
          <w:rFonts w:ascii="Times New Roman" w:hAnsi="Times New Roman" w:cs="Times New Roman"/>
          <w:kern w:val="2"/>
        </w:rPr>
        <w:t xml:space="preserve">           5.0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330</w:t>
      </w:r>
      <w:r>
        <w:rPr>
          <w:rFonts w:hint="eastAsia" w:ascii="Times New Roman" w:hAnsi="Times New Roman" w:cs="Times New Roman"/>
          <w:kern w:val="2"/>
        </w:rPr>
        <w:t>千伏</w:t>
      </w:r>
      <w:r>
        <w:rPr>
          <w:rFonts w:ascii="Times New Roman" w:hAnsi="Times New Roman" w:cs="Times New Roman"/>
          <w:kern w:val="2"/>
        </w:rPr>
        <w:t xml:space="preserve">                6.0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500</w:t>
      </w:r>
      <w:r>
        <w:rPr>
          <w:rFonts w:hint="eastAsia" w:ascii="Times New Roman" w:hAnsi="Times New Roman" w:cs="Times New Roman"/>
          <w:kern w:val="2"/>
        </w:rPr>
        <w:t>千伏</w:t>
      </w:r>
      <w:r>
        <w:rPr>
          <w:rFonts w:ascii="Times New Roman" w:hAnsi="Times New Roman" w:cs="Times New Roman"/>
          <w:kern w:val="2"/>
        </w:rPr>
        <w:t xml:space="preserve">                8.5</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虽然条例对架空电力线与建筑物水平安全距离作出了相关规定，但没有针对基站机房或基站杆塔安全间距的规定，对于在高压线附近选址的基站，其水平安全距离可参照</w:t>
      </w:r>
      <w:r>
        <w:rPr>
          <w:rFonts w:ascii="Times New Roman" w:hAnsi="Times New Roman" w:cs="Times New Roman"/>
          <w:kern w:val="2"/>
        </w:rPr>
        <w:t>2007</w:t>
      </w:r>
      <w:r>
        <w:rPr>
          <w:rFonts w:hint="eastAsia" w:ascii="Times New Roman" w:hAnsi="Times New Roman" w:cs="Times New Roman"/>
          <w:kern w:val="2"/>
        </w:rPr>
        <w:t>年信息产业部综合规划司编制的《工程建设标准强制性条文</w:t>
      </w:r>
      <w:r>
        <w:rPr>
          <w:rFonts w:ascii="Times New Roman" w:hAnsi="Times New Roman" w:cs="Times New Roman"/>
          <w:kern w:val="2"/>
        </w:rPr>
        <w:t>(</w:t>
      </w:r>
      <w:r>
        <w:rPr>
          <w:rFonts w:hint="eastAsia" w:ascii="Times New Roman" w:hAnsi="Times New Roman" w:cs="Times New Roman"/>
          <w:kern w:val="2"/>
        </w:rPr>
        <w:t>信息工程部分</w:t>
      </w:r>
      <w:r>
        <w:rPr>
          <w:rFonts w:ascii="Times New Roman" w:hAnsi="Times New Roman" w:cs="Times New Roman"/>
          <w:kern w:val="2"/>
        </w:rPr>
        <w:t>)</w:t>
      </w:r>
      <w:r>
        <w:rPr>
          <w:rFonts w:hint="eastAsia" w:ascii="Times New Roman" w:hAnsi="Times New Roman" w:cs="Times New Roman"/>
          <w:kern w:val="2"/>
        </w:rPr>
        <w:t>宣贯辅导材料》中第</w:t>
      </w:r>
      <w:r>
        <w:rPr>
          <w:rFonts w:ascii="Times New Roman" w:hAnsi="Times New Roman" w:cs="Times New Roman"/>
          <w:kern w:val="2"/>
        </w:rPr>
        <w:t>31</w:t>
      </w:r>
      <w:r>
        <w:rPr>
          <w:rFonts w:hint="eastAsia" w:ascii="Times New Roman" w:hAnsi="Times New Roman" w:cs="Times New Roman"/>
          <w:kern w:val="2"/>
        </w:rPr>
        <w:t>页：</w:t>
      </w:r>
      <w:r>
        <w:rPr>
          <w:rFonts w:ascii="Times New Roman" w:hAnsi="Times New Roman" w:cs="Times New Roman"/>
          <w:kern w:val="2"/>
        </w:rPr>
        <w:t>3.5.2</w:t>
      </w:r>
      <w:r>
        <w:rPr>
          <w:rFonts w:hint="eastAsia" w:ascii="Times New Roman" w:hAnsi="Times New Roman" w:cs="Times New Roman"/>
          <w:kern w:val="2"/>
        </w:rPr>
        <w:t>《国内卫星通信地球站工程设计规范》</w:t>
      </w:r>
      <w:r>
        <w:rPr>
          <w:rFonts w:ascii="Times New Roman" w:hAnsi="Times New Roman" w:cs="Times New Roman"/>
          <w:kern w:val="2"/>
        </w:rPr>
        <w:t xml:space="preserve"> YD 5050—2005 6.1.9</w:t>
      </w:r>
      <w:r>
        <w:rPr>
          <w:rFonts w:hint="eastAsia" w:ascii="Times New Roman" w:hAnsi="Times New Roman" w:cs="Times New Roman"/>
          <w:kern w:val="2"/>
        </w:rPr>
        <w:t>规定：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高压输电线不应穿越卫星地球站场地，距</w:t>
      </w:r>
      <w:r>
        <w:rPr>
          <w:rFonts w:ascii="Times New Roman" w:hAnsi="Times New Roman" w:cs="Times New Roman"/>
          <w:kern w:val="2"/>
        </w:rPr>
        <w:t>35</w:t>
      </w:r>
      <w:r>
        <w:rPr>
          <w:rFonts w:hint="eastAsia" w:ascii="Times New Roman" w:hAnsi="Times New Roman" w:cs="Times New Roman"/>
          <w:kern w:val="2"/>
        </w:rPr>
        <w:t>千伏及以上的高压电力线应大于</w:t>
      </w:r>
      <w:r>
        <w:rPr>
          <w:rFonts w:ascii="Times New Roman" w:hAnsi="Times New Roman" w:cs="Times New Roman"/>
          <w:kern w:val="2"/>
        </w:rPr>
        <w:t>100</w:t>
      </w:r>
      <w:r>
        <w:rPr>
          <w:rFonts w:hint="eastAsia" w:ascii="Times New Roman" w:hAnsi="Times New Roman" w:cs="Times New Roman"/>
          <w:kern w:val="2"/>
        </w:rPr>
        <w:t>米。</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在变电站附近的基站，也可参照卫星地球站的要求执行；对于</w:t>
      </w:r>
      <w:r>
        <w:rPr>
          <w:rFonts w:ascii="Times New Roman" w:hAnsi="Times New Roman" w:cs="Times New Roman"/>
          <w:kern w:val="2"/>
        </w:rPr>
        <w:t>35</w:t>
      </w:r>
      <w:r>
        <w:rPr>
          <w:rFonts w:hint="eastAsia" w:ascii="Times New Roman" w:hAnsi="Times New Roman" w:cs="Times New Roman"/>
          <w:kern w:val="2"/>
        </w:rPr>
        <w:t>千伏以下的一般情况下</w:t>
      </w:r>
      <w:r>
        <w:rPr>
          <w:rFonts w:ascii="Times New Roman" w:hAnsi="Times New Roman" w:cs="Times New Roman"/>
          <w:kern w:val="2"/>
        </w:rPr>
        <w:t>(</w:t>
      </w:r>
      <w:r>
        <w:rPr>
          <w:rFonts w:hint="eastAsia" w:ascii="Times New Roman" w:hAnsi="Times New Roman" w:cs="Times New Roman"/>
          <w:kern w:val="2"/>
        </w:rPr>
        <w:t>从安全角度约定</w:t>
      </w:r>
      <w:r>
        <w:rPr>
          <w:rFonts w:ascii="Times New Roman" w:hAnsi="Times New Roman" w:cs="Times New Roman"/>
          <w:kern w:val="2"/>
        </w:rPr>
        <w:t>)</w:t>
      </w:r>
      <w:r>
        <w:rPr>
          <w:rFonts w:hint="eastAsia" w:ascii="Times New Roman" w:hAnsi="Times New Roman" w:cs="Times New Roman"/>
          <w:kern w:val="2"/>
        </w:rPr>
        <w:t>，移动基站要求水平距离至少大于</w:t>
      </w:r>
      <w:r>
        <w:rPr>
          <w:rFonts w:ascii="Times New Roman" w:hAnsi="Times New Roman" w:cs="Times New Roman"/>
          <w:kern w:val="2"/>
        </w:rPr>
        <w:t>1</w:t>
      </w:r>
      <w:r>
        <w:rPr>
          <w:rFonts w:hint="eastAsia" w:ascii="Times New Roman" w:hAnsi="Times New Roman" w:cs="Times New Roman"/>
          <w:kern w:val="2"/>
        </w:rPr>
        <w:t>个塔高及输电线路距地的最大距离，安全距离应不少于</w:t>
      </w:r>
      <w:r>
        <w:rPr>
          <w:rFonts w:ascii="Times New Roman" w:hAnsi="Times New Roman" w:cs="Times New Roman"/>
          <w:kern w:val="2"/>
        </w:rPr>
        <w:t>50</w:t>
      </w:r>
      <w:r>
        <w:rPr>
          <w:rFonts w:hint="eastAsia" w:ascii="Times New Roman" w:hAnsi="Times New Roman" w:cs="Times New Roman"/>
          <w:kern w:val="2"/>
        </w:rPr>
        <w:t>米。</w:t>
      </w:r>
    </w:p>
    <w:p>
      <w:pPr>
        <w:pStyle w:val="6"/>
      </w:pPr>
      <w:r>
        <w:rPr>
          <w:rFonts w:hint="eastAsia"/>
        </w:rPr>
        <w:t>基站与边坡与房屋的距离</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基站建设安全距离需符合《建筑地基基础设计规范》</w:t>
      </w:r>
      <w:r>
        <w:rPr>
          <w:rFonts w:ascii="Times New Roman" w:hAnsi="Times New Roman" w:cs="Times New Roman"/>
          <w:kern w:val="2"/>
        </w:rPr>
        <w:t>GB 50007-2011</w:t>
      </w:r>
      <w:r>
        <w:rPr>
          <w:rFonts w:hint="eastAsia" w:ascii="Times New Roman" w:hAnsi="Times New Roman" w:cs="Times New Roman"/>
          <w:kern w:val="2"/>
        </w:rPr>
        <w:t>相关规定：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对于条形基础或矩形基础，当垂直于坡顶边缘线的基础底面边长小于或等于</w:t>
      </w:r>
      <w:r>
        <w:rPr>
          <w:rFonts w:ascii="Times New Roman" w:hAnsi="Times New Roman" w:cs="Times New Roman"/>
          <w:kern w:val="2"/>
        </w:rPr>
        <w:t xml:space="preserve">3m </w:t>
      </w:r>
      <w:r>
        <w:rPr>
          <w:rFonts w:hint="eastAsia" w:ascii="Times New Roman" w:hAnsi="Times New Roman" w:cs="Times New Roman"/>
          <w:kern w:val="2"/>
        </w:rPr>
        <w:t>时，其基础底面外边缘线至坡顶的水平距离符合要求，且不得小于</w:t>
      </w:r>
      <w:r>
        <w:rPr>
          <w:rFonts w:ascii="Times New Roman" w:hAnsi="Times New Roman" w:cs="Times New Roman"/>
          <w:kern w:val="2"/>
        </w:rPr>
        <w:t>2.5m</w:t>
      </w:r>
      <w:r>
        <w:rPr>
          <w:rFonts w:hint="eastAsia" w:ascii="Times New Roman" w:hAnsi="Times New Roman" w:cs="Times New Roman"/>
          <w:kern w:val="2"/>
        </w:rPr>
        <w:t>。</w:t>
      </w:r>
    </w:p>
    <w:p>
      <w:pPr>
        <w:pStyle w:val="6"/>
      </w:pPr>
      <w:r>
        <w:rPr>
          <w:rFonts w:hint="eastAsia"/>
        </w:rPr>
        <w:t>基站距离的其他要求</w:t>
      </w:r>
      <w:r>
        <w:t>(</w:t>
      </w:r>
      <w:r>
        <w:rPr>
          <w:rFonts w:hint="eastAsia"/>
        </w:rPr>
        <w:t>非无线工艺</w:t>
      </w:r>
      <w:r>
        <w:t>)</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基站建设安全距离需符合《国内卫星通信地球站工程设计规范》</w:t>
      </w:r>
      <w:r>
        <w:rPr>
          <w:rFonts w:ascii="Times New Roman" w:hAnsi="Times New Roman" w:cs="Times New Roman"/>
          <w:kern w:val="2"/>
        </w:rPr>
        <w:t>YD 5050-2005</w:t>
      </w:r>
      <w:r>
        <w:rPr>
          <w:rFonts w:hint="eastAsia" w:ascii="Times New Roman" w:hAnsi="Times New Roman" w:cs="Times New Roman"/>
          <w:kern w:val="2"/>
        </w:rPr>
        <w:t>相关规定：</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 xml:space="preserve">6.1.11 </w:t>
      </w:r>
      <w:r>
        <w:rPr>
          <w:rFonts w:hint="eastAsia" w:ascii="Times New Roman" w:hAnsi="Times New Roman" w:cs="Times New Roman"/>
          <w:kern w:val="2"/>
        </w:rPr>
        <w:t>站址选择应有较好的卫生环境，应避开产生烟雾、尘粒、散发有害气体的场所和腐蚀性排放物的工业企业。</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 xml:space="preserve">6.1.12 </w:t>
      </w:r>
      <w:r>
        <w:rPr>
          <w:rFonts w:hint="eastAsia" w:ascii="Times New Roman" w:hAnsi="Times New Roman" w:cs="Times New Roman"/>
          <w:kern w:val="2"/>
        </w:rPr>
        <w:t>站址选择应有一定的安全环境，不应选择在易燃、易爆的仓库以及地震带和易受洪水淹灌的地方，应避开断层土坡边缘、古河道及有可能塌方、滑坡、有开采价值的地下矿藏或古迹遗址的地方。</w:t>
      </w:r>
    </w:p>
    <w:p>
      <w:pPr>
        <w:pStyle w:val="5"/>
      </w:pPr>
      <w:bookmarkStart w:id="195" w:name="_Toc56092789"/>
      <w:r>
        <w:rPr>
          <w:rFonts w:hint="eastAsia"/>
        </w:rPr>
        <w:t>基站配套需求</w:t>
      </w:r>
      <w:bookmarkEnd w:id="195"/>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机房的一般选择在市区或者房屋密集区域的工业建筑及民用建筑，应考虑其使用年限、外观质量、结构形式、平面位置等因素。</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基站机房建设要点：</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）房屋的抗震设防类别应达到标准设防类（丙类）。</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2</w:t>
      </w:r>
      <w:r>
        <w:rPr>
          <w:rFonts w:hint="eastAsia" w:ascii="Times New Roman" w:hAnsi="Times New Roman" w:cs="Times New Roman"/>
          <w:kern w:val="2"/>
        </w:rPr>
        <w:t>）应选择结构验收合格并在设计使用年限内的房屋，不应选用承重构件已严重开裂的危房改建通信机房。</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3</w:t>
      </w:r>
      <w:r>
        <w:rPr>
          <w:rFonts w:hint="eastAsia" w:ascii="Times New Roman" w:hAnsi="Times New Roman" w:cs="Times New Roman"/>
          <w:kern w:val="2"/>
        </w:rPr>
        <w:t>）不宜选择在既有建筑上进行加层改扩建的房屋，不应选择在框架结构、框架</w:t>
      </w:r>
      <w:r>
        <w:rPr>
          <w:rFonts w:ascii="Times New Roman" w:hAnsi="Times New Roman" w:cs="Times New Roman"/>
          <w:kern w:val="2"/>
        </w:rPr>
        <w:t>-</w:t>
      </w:r>
      <w:r>
        <w:rPr>
          <w:rFonts w:hint="eastAsia" w:ascii="Times New Roman" w:hAnsi="Times New Roman" w:cs="Times New Roman"/>
          <w:kern w:val="2"/>
        </w:rPr>
        <w:t>剪力墙结构、剪力墙结构屋面上加建局部砖混结构的房屋。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w:t>
      </w:r>
      <w:r>
        <w:rPr>
          <w:rFonts w:hint="eastAsia" w:ascii="Times New Roman" w:hAnsi="Times New Roman" w:cs="Times New Roman"/>
          <w:kern w:val="2"/>
        </w:rPr>
        <w:t>）应选择外观质量好的房屋，不应选择墙体及天花板有渗水水渍、抹灰层脱落严重以及结构构件有钢筋锈蚀痕迹的房屋。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5</w:t>
      </w:r>
      <w:r>
        <w:rPr>
          <w:rFonts w:hint="eastAsia" w:ascii="Times New Roman" w:hAnsi="Times New Roman" w:cs="Times New Roman"/>
          <w:kern w:val="2"/>
        </w:rPr>
        <w:t>）宜优先选择框架结构、剪力墙结构、框架</w:t>
      </w:r>
      <w:r>
        <w:rPr>
          <w:rFonts w:ascii="Times New Roman" w:hAnsi="Times New Roman" w:cs="Times New Roman"/>
          <w:kern w:val="2"/>
        </w:rPr>
        <w:t>-</w:t>
      </w:r>
      <w:r>
        <w:rPr>
          <w:rFonts w:hint="eastAsia" w:ascii="Times New Roman" w:hAnsi="Times New Roman" w:cs="Times New Roman"/>
          <w:kern w:val="2"/>
        </w:rPr>
        <w:t>剪力墙结构等抗震性能好的结构体系的房屋。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6</w:t>
      </w:r>
      <w:r>
        <w:rPr>
          <w:rFonts w:hint="eastAsia" w:ascii="Times New Roman" w:hAnsi="Times New Roman" w:cs="Times New Roman"/>
          <w:kern w:val="2"/>
        </w:rPr>
        <w:t>）当选择砌体结构的房屋时，应优先选择横墙承重或纵横墙共同承重结构体系的房屋，不宜选择底部框架结构体系的房屋。</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7</w:t>
      </w:r>
      <w:r>
        <w:rPr>
          <w:rFonts w:hint="eastAsia" w:ascii="Times New Roman" w:hAnsi="Times New Roman" w:cs="Times New Roman"/>
          <w:kern w:val="2"/>
        </w:rPr>
        <w:t>）在选择楼层时，应优先选择在无地下室的底层。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8</w:t>
      </w:r>
      <w:r>
        <w:rPr>
          <w:rFonts w:hint="eastAsia" w:ascii="Times New Roman" w:hAnsi="Times New Roman" w:cs="Times New Roman"/>
          <w:kern w:val="2"/>
        </w:rPr>
        <w:t>）在选择房间时，不宜选择局部出屋面的用房如水箱间、楼梯间等，以避免较严重的震害。</w:t>
      </w:r>
    </w:p>
    <w:p>
      <w:pPr>
        <w:pStyle w:val="5"/>
      </w:pPr>
      <w:bookmarkStart w:id="196" w:name="_Toc56092790"/>
      <w:r>
        <w:rPr>
          <w:rFonts w:hint="eastAsia"/>
        </w:rPr>
        <w:t>基站规划成果</w:t>
      </w:r>
      <w:bookmarkEnd w:id="196"/>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立足梁平现网站点资源现状，依托现已定型的基站分布态势，结合新建基站选址原则与无线专业链路预算，统筹规划全区基站整体布局与细节协调把控，实现规划区域无线信号全方位、无缝隙广覆盖，同时充分保障重点价值区域、潮汐效应明显区域、重要办公区域等场所的无线通信深度覆盖。</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w:t>
      </w:r>
      <w:r>
        <w:rPr>
          <w:rFonts w:ascii="Times New Roman" w:hAnsi="Times New Roman" w:cs="Times New Roman"/>
          <w:kern w:val="2"/>
        </w:rPr>
        <w:t>5G</w:t>
      </w:r>
      <w:r>
        <w:rPr>
          <w:rFonts w:hint="eastAsia" w:ascii="Times New Roman" w:hAnsi="Times New Roman" w:cs="Times New Roman"/>
          <w:kern w:val="2"/>
        </w:rPr>
        <w:t>基站通信设施规划成果如下</w:t>
      </w:r>
    </w:p>
    <w:p>
      <w:pPr>
        <w:widowControl w:val="0"/>
        <w:numPr>
          <w:ilvl w:val="0"/>
          <w:numId w:val="47"/>
        </w:numPr>
        <w:snapToGrid w:val="0"/>
        <w:spacing w:line="360" w:lineRule="auto"/>
        <w:ind w:left="0" w:firstLine="482" w:firstLineChars="200"/>
        <w:contextualSpacing/>
        <w:jc w:val="both"/>
        <w:rPr>
          <w:rFonts w:ascii="Times New Roman" w:hAnsi="Times New Roman" w:cs="Times New Roman"/>
          <w:b/>
          <w:kern w:val="2"/>
        </w:rPr>
      </w:pPr>
      <w:r>
        <w:rPr>
          <w:rFonts w:hint="eastAsia" w:ascii="Times New Roman" w:hAnsi="Times New Roman" w:cs="Times New Roman"/>
          <w:b/>
          <w:kern w:val="2"/>
        </w:rPr>
        <w:t>不同建设场景下站间距划定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梁平主城定义为密集市区，梁平新城区为综合服务功能区，其它区域归类为乡镇、农村区域。</w:t>
      </w:r>
    </w:p>
    <w:p>
      <w:pPr>
        <w:widowControl w:val="0"/>
        <w:numPr>
          <w:ilvl w:val="0"/>
          <w:numId w:val="48"/>
        </w:numPr>
        <w:snapToGrid w:val="0"/>
        <w:spacing w:line="360" w:lineRule="auto"/>
        <w:ind w:left="240" w:leftChars="100"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规划梁平中心城区区平均站间距大约</w:t>
      </w:r>
      <w:r>
        <w:rPr>
          <w:rFonts w:ascii="Times New Roman" w:hAnsi="Times New Roman" w:cs="Times New Roman"/>
          <w:kern w:val="2"/>
        </w:rPr>
        <w:t>200</w:t>
      </w:r>
      <w:r>
        <w:rPr>
          <w:rFonts w:hint="eastAsia" w:ascii="Times New Roman" w:hAnsi="Times New Roman" w:cs="Times New Roman"/>
          <w:kern w:val="2"/>
        </w:rPr>
        <w:t>米左右，单站覆盖面积约</w:t>
      </w:r>
      <w:r>
        <w:rPr>
          <w:rFonts w:ascii="Times New Roman" w:hAnsi="Times New Roman" w:cs="Times New Roman"/>
          <w:kern w:val="2"/>
        </w:rPr>
        <w:t>0.035</w:t>
      </w:r>
      <w:r>
        <w:rPr>
          <w:rFonts w:hint="eastAsia" w:ascii="Times New Roman" w:hAnsi="Times New Roman" w:cs="Times New Roman"/>
          <w:kern w:val="2"/>
        </w:rPr>
        <w:t>平方公里；</w:t>
      </w:r>
    </w:p>
    <w:p>
      <w:pPr>
        <w:widowControl w:val="0"/>
        <w:numPr>
          <w:ilvl w:val="0"/>
          <w:numId w:val="48"/>
        </w:numPr>
        <w:snapToGrid w:val="0"/>
        <w:spacing w:line="360" w:lineRule="auto"/>
        <w:ind w:left="567"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规划新区域平均站间距大约</w:t>
      </w:r>
      <w:r>
        <w:rPr>
          <w:rFonts w:ascii="Times New Roman" w:hAnsi="Times New Roman" w:cs="Times New Roman"/>
          <w:kern w:val="2"/>
        </w:rPr>
        <w:t>200</w:t>
      </w:r>
      <w:r>
        <w:rPr>
          <w:rFonts w:hint="eastAsia" w:ascii="Times New Roman" w:hAnsi="Times New Roman" w:cs="Times New Roman"/>
          <w:kern w:val="2"/>
        </w:rPr>
        <w:t>米，单站点覆盖面积约</w:t>
      </w:r>
      <w:r>
        <w:rPr>
          <w:rFonts w:ascii="Times New Roman" w:hAnsi="Times New Roman" w:cs="Times New Roman"/>
          <w:kern w:val="2"/>
        </w:rPr>
        <w:t>0.035</w:t>
      </w:r>
      <w:r>
        <w:rPr>
          <w:rFonts w:hint="eastAsia" w:ascii="Times New Roman" w:hAnsi="Times New Roman" w:cs="Times New Roman"/>
          <w:kern w:val="2"/>
        </w:rPr>
        <w:t>平方公里；</w:t>
      </w:r>
    </w:p>
    <w:p>
      <w:pPr>
        <w:widowControl w:val="0"/>
        <w:numPr>
          <w:ilvl w:val="0"/>
          <w:numId w:val="48"/>
        </w:numPr>
        <w:snapToGrid w:val="0"/>
        <w:spacing w:line="360" w:lineRule="auto"/>
        <w:ind w:left="567" w:firstLine="480" w:firstLineChars="200"/>
        <w:contextualSpacing/>
        <w:jc w:val="both"/>
        <w:rPr>
          <w:rFonts w:ascii="Times New Roman" w:hAnsi="Times New Roman" w:cs="Times New Roman"/>
          <w:kern w:val="2"/>
        </w:rPr>
      </w:pPr>
      <w:r>
        <w:rPr>
          <w:rFonts w:hint="eastAsia" w:ascii="Times New Roman" w:hAnsi="Times New Roman" w:cs="Times New Roman"/>
          <w:kern w:val="2"/>
        </w:rPr>
        <w:t>乡镇平均站距大约</w:t>
      </w:r>
      <w:r>
        <w:rPr>
          <w:rFonts w:ascii="Times New Roman" w:hAnsi="Times New Roman" w:cs="Times New Roman"/>
          <w:kern w:val="2"/>
        </w:rPr>
        <w:t>200-300</w:t>
      </w:r>
      <w:r>
        <w:rPr>
          <w:rFonts w:hint="eastAsia" w:ascii="Times New Roman" w:hAnsi="Times New Roman" w:cs="Times New Roman"/>
          <w:kern w:val="2"/>
        </w:rPr>
        <w:t>米，单站点覆盖面积约</w:t>
      </w:r>
      <w:r>
        <w:rPr>
          <w:rFonts w:ascii="Times New Roman" w:hAnsi="Times New Roman" w:cs="Times New Roman"/>
          <w:kern w:val="2"/>
        </w:rPr>
        <w:t>0.078</w:t>
      </w:r>
      <w:r>
        <w:rPr>
          <w:rFonts w:hint="eastAsia" w:ascii="Times New Roman" w:hAnsi="Times New Roman" w:cs="Times New Roman"/>
          <w:kern w:val="2"/>
        </w:rPr>
        <w:t>平方公里。</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以此站间距进行基站规划建设，能实现规划区域内室外信号良好地广覆盖，保证用户在移动的环境下实现至少</w:t>
      </w:r>
      <w:r>
        <w:rPr>
          <w:rFonts w:ascii="Times New Roman" w:hAnsi="Times New Roman" w:cs="Times New Roman"/>
          <w:kern w:val="2"/>
        </w:rPr>
        <w:t>100Mbps</w:t>
      </w:r>
      <w:r>
        <w:rPr>
          <w:rFonts w:hint="eastAsia" w:ascii="Times New Roman" w:hAnsi="Times New Roman" w:cs="Times New Roman"/>
          <w:kern w:val="2"/>
        </w:rPr>
        <w:t>上网速率进行网络冲浪体验，充分满足不同人群对优质移动网络的强烈需求。</w:t>
      </w:r>
    </w:p>
    <w:p>
      <w:pPr>
        <w:widowControl w:val="0"/>
        <w:snapToGrid w:val="0"/>
        <w:spacing w:line="360" w:lineRule="auto"/>
        <w:ind w:firstLine="482" w:firstLineChars="200"/>
        <w:contextualSpacing/>
        <w:jc w:val="both"/>
        <w:rPr>
          <w:rFonts w:ascii="Times New Roman" w:hAnsi="Times New Roman" w:cs="Times New Roman"/>
          <w:b/>
          <w:kern w:val="2"/>
        </w:rPr>
      </w:pPr>
      <w:r>
        <w:rPr>
          <w:rFonts w:hint="eastAsia" w:ascii="Times New Roman" w:hAnsi="Times New Roman" w:cs="Times New Roman"/>
          <w:b/>
          <w:kern w:val="2"/>
        </w:rPr>
        <w:t>（</w:t>
      </w:r>
      <w:r>
        <w:rPr>
          <w:rFonts w:ascii="Times New Roman" w:hAnsi="Times New Roman" w:cs="Times New Roman"/>
          <w:b/>
          <w:kern w:val="2"/>
        </w:rPr>
        <w:t>2</w:t>
      </w:r>
      <w:r>
        <w:rPr>
          <w:rFonts w:hint="eastAsia" w:ascii="Times New Roman" w:hAnsi="Times New Roman" w:cs="Times New Roman"/>
          <w:b/>
          <w:kern w:val="2"/>
        </w:rPr>
        <w:t>）覆盖规划所需基站数量</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通信规划分为覆盖规划与容量规划。随着</w:t>
      </w:r>
      <w:r>
        <w:rPr>
          <w:rFonts w:ascii="Times New Roman" w:hAnsi="Times New Roman" w:cs="Times New Roman"/>
          <w:kern w:val="2"/>
        </w:rPr>
        <w:t>5G</w:t>
      </w:r>
      <w:r>
        <w:rPr>
          <w:rFonts w:hint="eastAsia" w:ascii="Times New Roman" w:hAnsi="Times New Roman" w:cs="Times New Roman"/>
          <w:kern w:val="2"/>
        </w:rPr>
        <w:t>网络先进扩容技术的快速推广以及</w:t>
      </w:r>
      <w:r>
        <w:rPr>
          <w:rFonts w:ascii="Times New Roman" w:hAnsi="Times New Roman" w:cs="Times New Roman"/>
          <w:kern w:val="2"/>
        </w:rPr>
        <w:t>2G</w:t>
      </w:r>
      <w:r>
        <w:rPr>
          <w:rFonts w:hint="eastAsia" w:ascii="Times New Roman" w:hAnsi="Times New Roman" w:cs="Times New Roman"/>
          <w:kern w:val="2"/>
        </w:rPr>
        <w:t>、</w:t>
      </w:r>
      <w:r>
        <w:rPr>
          <w:rFonts w:ascii="Times New Roman" w:hAnsi="Times New Roman" w:cs="Times New Roman"/>
          <w:kern w:val="2"/>
        </w:rPr>
        <w:t>3G</w:t>
      </w:r>
      <w:r>
        <w:rPr>
          <w:rFonts w:hint="eastAsia" w:ascii="Times New Roman" w:hAnsi="Times New Roman" w:cs="Times New Roman"/>
          <w:kern w:val="2"/>
        </w:rPr>
        <w:t>网络的逐步退网，规划区域内的无线网络容量提升相比覆盖率增长更易实现。载波聚合、</w:t>
      </w:r>
      <w:r>
        <w:rPr>
          <w:rFonts w:ascii="Times New Roman" w:hAnsi="Times New Roman" w:cs="Times New Roman"/>
          <w:kern w:val="2"/>
        </w:rPr>
        <w:t>MIMO</w:t>
      </w:r>
      <w:r>
        <w:rPr>
          <w:rFonts w:hint="eastAsia" w:ascii="Times New Roman" w:hAnsi="Times New Roman" w:cs="Times New Roman"/>
          <w:kern w:val="2"/>
        </w:rPr>
        <w:t>等技术手段都可以快速实现网络容量呈几何倍数增长，而且不需要新增物理站址。故本次规划依据</w:t>
      </w:r>
      <w:r>
        <w:rPr>
          <w:rFonts w:ascii="Times New Roman" w:hAnsi="Times New Roman" w:cs="Times New Roman"/>
          <w:kern w:val="2"/>
        </w:rPr>
        <w:t>5G</w:t>
      </w:r>
      <w:r>
        <w:rPr>
          <w:rFonts w:hint="eastAsia" w:ascii="Times New Roman" w:hAnsi="Times New Roman" w:cs="Times New Roman"/>
          <w:kern w:val="2"/>
        </w:rPr>
        <w:t>高频段信号的覆盖要求、边缘用户上网速率需求，进行基站数量计算。</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基站规划拟定在规划时间节点内，梁平区规划建设</w:t>
      </w:r>
      <w:r>
        <w:rPr>
          <w:rFonts w:ascii="Times New Roman" w:hAnsi="Times New Roman" w:cs="Times New Roman"/>
          <w:kern w:val="2"/>
        </w:rPr>
        <w:t>5G</w:t>
      </w:r>
      <w:r>
        <w:rPr>
          <w:rFonts w:hint="eastAsia" w:ascii="Times New Roman" w:hAnsi="Times New Roman" w:cs="Times New Roman"/>
          <w:kern w:val="2"/>
        </w:rPr>
        <w:t>物理站址</w:t>
      </w:r>
      <w:r>
        <w:rPr>
          <w:rFonts w:ascii="Times New Roman" w:hAnsi="Times New Roman" w:cs="Times New Roman"/>
          <w:kern w:val="2"/>
        </w:rPr>
        <w:t>1600</w:t>
      </w:r>
      <w:r>
        <w:rPr>
          <w:rFonts w:hint="eastAsia" w:ascii="Times New Roman" w:hAnsi="Times New Roman" w:cs="Times New Roman"/>
          <w:kern w:val="2"/>
        </w:rPr>
        <w:t>个，其中梁平城区</w:t>
      </w:r>
      <w:r>
        <w:rPr>
          <w:rFonts w:ascii="Times New Roman" w:hAnsi="Times New Roman" w:cs="Times New Roman"/>
          <w:kern w:val="2"/>
        </w:rPr>
        <w:t>340</w:t>
      </w:r>
      <w:r>
        <w:rPr>
          <w:rFonts w:hint="eastAsia" w:ascii="Times New Roman" w:hAnsi="Times New Roman" w:cs="Times New Roman"/>
          <w:kern w:val="2"/>
        </w:rPr>
        <w:t>个，工业园区</w:t>
      </w:r>
      <w:r>
        <w:rPr>
          <w:rFonts w:ascii="Times New Roman" w:hAnsi="Times New Roman" w:cs="Times New Roman"/>
          <w:kern w:val="2"/>
        </w:rPr>
        <w:t>244</w:t>
      </w:r>
      <w:r>
        <w:rPr>
          <w:rFonts w:hint="eastAsia" w:ascii="Times New Roman" w:hAnsi="Times New Roman" w:cs="Times New Roman"/>
          <w:kern w:val="2"/>
        </w:rPr>
        <w:t>个，乡镇</w:t>
      </w:r>
      <w:r>
        <w:rPr>
          <w:rFonts w:ascii="Times New Roman" w:hAnsi="Times New Roman" w:cs="Times New Roman"/>
          <w:kern w:val="2"/>
        </w:rPr>
        <w:t>714</w:t>
      </w:r>
      <w:r>
        <w:rPr>
          <w:rFonts w:hint="eastAsia" w:ascii="Times New Roman" w:hAnsi="Times New Roman" w:cs="Times New Roman"/>
          <w:kern w:val="2"/>
        </w:rPr>
        <w:t>个，景区</w:t>
      </w:r>
      <w:r>
        <w:rPr>
          <w:rFonts w:ascii="Times New Roman" w:hAnsi="Times New Roman" w:cs="Times New Roman"/>
          <w:kern w:val="2"/>
        </w:rPr>
        <w:t>64</w:t>
      </w:r>
      <w:r>
        <w:rPr>
          <w:rFonts w:hint="eastAsia" w:ascii="Times New Roman" w:hAnsi="Times New Roman" w:cs="Times New Roman"/>
          <w:kern w:val="2"/>
        </w:rPr>
        <w:t>个，交通干线</w:t>
      </w:r>
      <w:r>
        <w:rPr>
          <w:rFonts w:ascii="Times New Roman" w:hAnsi="Times New Roman" w:cs="Times New Roman"/>
          <w:kern w:val="2"/>
        </w:rPr>
        <w:t>115</w:t>
      </w:r>
      <w:r>
        <w:rPr>
          <w:rFonts w:hint="eastAsia" w:ascii="Times New Roman" w:hAnsi="Times New Roman" w:cs="Times New Roman"/>
          <w:kern w:val="2"/>
        </w:rPr>
        <w:t>个，室内</w:t>
      </w:r>
      <w:r>
        <w:rPr>
          <w:rFonts w:ascii="Times New Roman" w:hAnsi="Times New Roman" w:cs="Times New Roman"/>
          <w:kern w:val="2"/>
        </w:rPr>
        <w:t>5G</w:t>
      </w:r>
      <w:r>
        <w:rPr>
          <w:rFonts w:hint="eastAsia" w:ascii="Times New Roman" w:hAnsi="Times New Roman" w:cs="Times New Roman"/>
          <w:kern w:val="2"/>
        </w:rPr>
        <w:t>综合分布系统覆盖站址</w:t>
      </w:r>
      <w:r>
        <w:rPr>
          <w:rFonts w:ascii="Times New Roman" w:hAnsi="Times New Roman" w:cs="Times New Roman"/>
          <w:kern w:val="2"/>
        </w:rPr>
        <w:t>123</w:t>
      </w:r>
      <w:r>
        <w:rPr>
          <w:rFonts w:hint="eastAsia" w:ascii="Times New Roman" w:hAnsi="Times New Roman" w:cs="Times New Roman"/>
          <w:kern w:val="2"/>
        </w:rPr>
        <w:t>个，可满足三家基础电信企业以及广电网络</w:t>
      </w:r>
      <w:r>
        <w:rPr>
          <w:rFonts w:ascii="Times New Roman" w:hAnsi="Times New Roman" w:cs="Times New Roman"/>
          <w:kern w:val="2"/>
        </w:rPr>
        <w:t>5G</w:t>
      </w:r>
      <w:r>
        <w:rPr>
          <w:rFonts w:hint="eastAsia" w:ascii="Times New Roman" w:hAnsi="Times New Roman" w:cs="Times New Roman"/>
          <w:kern w:val="2"/>
        </w:rPr>
        <w:t>业务建设需求</w:t>
      </w:r>
      <w:r>
        <w:rPr>
          <w:rFonts w:ascii="Times New Roman" w:hAnsi="Times New Roman" w:cs="Times New Roman"/>
          <w:kern w:val="2"/>
        </w:rPr>
        <w:t>4800</w:t>
      </w:r>
      <w:r>
        <w:rPr>
          <w:rFonts w:hint="eastAsia" w:ascii="Times New Roman" w:hAnsi="Times New Roman" w:cs="Times New Roman"/>
          <w:kern w:val="2"/>
        </w:rPr>
        <w:t>个。</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近期室外宏站</w:t>
      </w:r>
      <w:r>
        <w:rPr>
          <w:rFonts w:ascii="Times New Roman" w:hAnsi="Times New Roman" w:cs="Times New Roman"/>
          <w:kern w:val="2"/>
        </w:rPr>
        <w:t>962</w:t>
      </w:r>
      <w:r>
        <w:rPr>
          <w:rFonts w:hint="eastAsia" w:ascii="Times New Roman" w:hAnsi="Times New Roman" w:cs="Times New Roman"/>
          <w:kern w:val="2"/>
        </w:rPr>
        <w:t>个（其中新建</w:t>
      </w:r>
      <w:r>
        <w:rPr>
          <w:rFonts w:ascii="Times New Roman" w:hAnsi="Times New Roman" w:cs="Times New Roman"/>
          <w:kern w:val="2"/>
        </w:rPr>
        <w:t>239</w:t>
      </w:r>
      <w:r>
        <w:rPr>
          <w:rFonts w:hint="eastAsia" w:ascii="Times New Roman" w:hAnsi="Times New Roman" w:cs="Times New Roman"/>
          <w:kern w:val="2"/>
        </w:rPr>
        <w:t>个，改造现网</w:t>
      </w:r>
      <w:r>
        <w:rPr>
          <w:rFonts w:ascii="Times New Roman" w:hAnsi="Times New Roman" w:cs="Times New Roman"/>
          <w:kern w:val="2"/>
        </w:rPr>
        <w:t>645</w:t>
      </w:r>
      <w:r>
        <w:rPr>
          <w:rFonts w:hint="eastAsia" w:ascii="Times New Roman" w:hAnsi="Times New Roman" w:cs="Times New Roman"/>
          <w:kern w:val="2"/>
        </w:rPr>
        <w:t>个，改造社会资源</w:t>
      </w:r>
      <w:r>
        <w:rPr>
          <w:rFonts w:ascii="Times New Roman" w:hAnsi="Times New Roman" w:cs="Times New Roman"/>
          <w:kern w:val="2"/>
        </w:rPr>
        <w:t>78</w:t>
      </w:r>
      <w:r>
        <w:rPr>
          <w:rFonts w:hint="eastAsia" w:ascii="Times New Roman" w:hAnsi="Times New Roman" w:cs="Times New Roman"/>
          <w:kern w:val="2"/>
        </w:rPr>
        <w:t>个），远期室外宏站</w:t>
      </w:r>
      <w:r>
        <w:rPr>
          <w:rFonts w:ascii="Times New Roman" w:hAnsi="Times New Roman" w:cs="Times New Roman"/>
          <w:kern w:val="2"/>
        </w:rPr>
        <w:t>515</w:t>
      </w:r>
      <w:r>
        <w:rPr>
          <w:rFonts w:hint="eastAsia" w:ascii="Times New Roman" w:hAnsi="Times New Roman" w:cs="Times New Roman"/>
          <w:kern w:val="2"/>
        </w:rPr>
        <w:t>个（其中新建</w:t>
      </w:r>
      <w:r>
        <w:rPr>
          <w:rFonts w:ascii="Times New Roman" w:hAnsi="Times New Roman" w:cs="Times New Roman"/>
          <w:kern w:val="2"/>
        </w:rPr>
        <w:t>59</w:t>
      </w:r>
      <w:r>
        <w:rPr>
          <w:rFonts w:hint="eastAsia" w:ascii="Times New Roman" w:hAnsi="Times New Roman" w:cs="Times New Roman"/>
          <w:kern w:val="2"/>
        </w:rPr>
        <w:t>个，改造现网</w:t>
      </w:r>
      <w:r>
        <w:rPr>
          <w:rFonts w:ascii="Times New Roman" w:hAnsi="Times New Roman" w:cs="Times New Roman"/>
          <w:kern w:val="2"/>
        </w:rPr>
        <w:t>456</w:t>
      </w:r>
      <w:r>
        <w:rPr>
          <w:rFonts w:hint="eastAsia" w:ascii="Times New Roman" w:hAnsi="Times New Roman" w:cs="Times New Roman"/>
          <w:kern w:val="2"/>
        </w:rPr>
        <w:t>个）；近期室内分布系统站址</w:t>
      </w:r>
      <w:r>
        <w:rPr>
          <w:rFonts w:ascii="Times New Roman" w:hAnsi="Times New Roman" w:cs="Times New Roman"/>
          <w:kern w:val="2"/>
        </w:rPr>
        <w:t>82</w:t>
      </w:r>
      <w:r>
        <w:rPr>
          <w:rFonts w:hint="eastAsia" w:ascii="Times New Roman" w:hAnsi="Times New Roman" w:cs="Times New Roman"/>
          <w:kern w:val="2"/>
        </w:rPr>
        <w:t>个（其中新建</w:t>
      </w:r>
      <w:r>
        <w:rPr>
          <w:rFonts w:ascii="Times New Roman" w:hAnsi="Times New Roman" w:cs="Times New Roman"/>
          <w:kern w:val="2"/>
        </w:rPr>
        <w:t>38</w:t>
      </w:r>
      <w:r>
        <w:rPr>
          <w:rFonts w:hint="eastAsia" w:ascii="Times New Roman" w:hAnsi="Times New Roman" w:cs="Times New Roman"/>
          <w:kern w:val="2"/>
        </w:rPr>
        <w:t>个，改造现网</w:t>
      </w:r>
      <w:r>
        <w:rPr>
          <w:rFonts w:ascii="Times New Roman" w:hAnsi="Times New Roman" w:cs="Times New Roman"/>
          <w:kern w:val="2"/>
        </w:rPr>
        <w:t>44</w:t>
      </w:r>
      <w:r>
        <w:rPr>
          <w:rFonts w:hint="eastAsia" w:ascii="Times New Roman" w:hAnsi="Times New Roman" w:cs="Times New Roman"/>
          <w:kern w:val="2"/>
        </w:rPr>
        <w:t>个），远期室内分布系统站址</w:t>
      </w:r>
      <w:r>
        <w:rPr>
          <w:rFonts w:ascii="Times New Roman" w:hAnsi="Times New Roman" w:cs="Times New Roman"/>
          <w:kern w:val="2"/>
        </w:rPr>
        <w:t>41</w:t>
      </w:r>
      <w:r>
        <w:rPr>
          <w:rFonts w:hint="eastAsia" w:ascii="Times New Roman" w:hAnsi="Times New Roman" w:cs="Times New Roman"/>
          <w:kern w:val="2"/>
        </w:rPr>
        <w:t>个（新建</w:t>
      </w:r>
      <w:r>
        <w:rPr>
          <w:rFonts w:ascii="Times New Roman" w:hAnsi="Times New Roman" w:cs="Times New Roman"/>
          <w:kern w:val="2"/>
        </w:rPr>
        <w:t>41</w:t>
      </w:r>
      <w:r>
        <w:rPr>
          <w:rFonts w:hint="eastAsia" w:ascii="Times New Roman" w:hAnsi="Times New Roman" w:cs="Times New Roman"/>
          <w:kern w:val="2"/>
        </w:rPr>
        <w:t>个）。</w:t>
      </w:r>
      <w:r>
        <w:rPr>
          <w:rFonts w:ascii="Times New Roman" w:hAnsi="Times New Roman" w:cs="Times New Roman"/>
          <w:kern w:val="2"/>
        </w:rPr>
        <w:t xml:space="preserve"> </w:t>
      </w:r>
    </w:p>
    <w:p>
      <w:pPr>
        <w:widowControl w:val="0"/>
        <w:snapToGrid w:val="0"/>
        <w:spacing w:line="360" w:lineRule="auto"/>
        <w:ind w:firstLine="480" w:firstLineChars="200"/>
        <w:contextualSpacing/>
        <w:jc w:val="both"/>
        <w:rPr>
          <w:rFonts w:ascii="Times New Roman" w:hAnsi="Times New Roman" w:cs="Times New Roman"/>
          <w:kern w:val="2"/>
        </w:rPr>
      </w:pPr>
      <w:r>
        <w:rPr>
          <w:rFonts w:ascii="Times New Roman" w:hAnsi="Times New Roman" w:cs="Times New Roman"/>
          <w:kern w:val="2"/>
        </w:rPr>
        <w:t>1600</w:t>
      </w:r>
      <w:r>
        <w:rPr>
          <w:rFonts w:hint="eastAsia" w:ascii="Times New Roman" w:hAnsi="Times New Roman" w:cs="Times New Roman"/>
          <w:kern w:val="2"/>
        </w:rPr>
        <w:t>个</w:t>
      </w:r>
      <w:r>
        <w:rPr>
          <w:rFonts w:ascii="Times New Roman" w:hAnsi="Times New Roman" w:cs="Times New Roman"/>
          <w:kern w:val="2"/>
        </w:rPr>
        <w:t>5G</w:t>
      </w:r>
      <w:r>
        <w:rPr>
          <w:rFonts w:hint="eastAsia" w:ascii="Times New Roman" w:hAnsi="Times New Roman" w:cs="Times New Roman"/>
          <w:kern w:val="2"/>
        </w:rPr>
        <w:t>规划站址分两阶段实施建设。规划一阶段（</w:t>
      </w:r>
      <w:r>
        <w:rPr>
          <w:rFonts w:ascii="Times New Roman" w:hAnsi="Times New Roman" w:cs="Times New Roman"/>
          <w:kern w:val="2"/>
        </w:rPr>
        <w:t>2020-2022</w:t>
      </w:r>
      <w:r>
        <w:rPr>
          <w:rFonts w:hint="eastAsia" w:ascii="Times New Roman" w:hAnsi="Times New Roman" w:cs="Times New Roman"/>
          <w:kern w:val="2"/>
        </w:rPr>
        <w:t>年）完成规划总量</w:t>
      </w:r>
      <w:r>
        <w:rPr>
          <w:rFonts w:ascii="Times New Roman" w:hAnsi="Times New Roman" w:cs="Times New Roman"/>
          <w:kern w:val="2"/>
        </w:rPr>
        <w:t>60%</w:t>
      </w:r>
      <w:r>
        <w:rPr>
          <w:rFonts w:hint="eastAsia" w:ascii="Times New Roman" w:hAnsi="Times New Roman" w:cs="Times New Roman"/>
          <w:kern w:val="2"/>
        </w:rPr>
        <w:t>建设。规划二阶段（</w:t>
      </w:r>
      <w:r>
        <w:rPr>
          <w:rFonts w:ascii="Times New Roman" w:hAnsi="Times New Roman" w:cs="Times New Roman"/>
          <w:kern w:val="2"/>
        </w:rPr>
        <w:t>2023-2025</w:t>
      </w:r>
      <w:r>
        <w:rPr>
          <w:rFonts w:hint="eastAsia" w:ascii="Times New Roman" w:hAnsi="Times New Roman" w:cs="Times New Roman"/>
          <w:kern w:val="2"/>
        </w:rPr>
        <w:t>年）完成规划总量</w:t>
      </w:r>
      <w:r>
        <w:rPr>
          <w:rFonts w:ascii="Times New Roman" w:hAnsi="Times New Roman" w:cs="Times New Roman"/>
          <w:kern w:val="2"/>
        </w:rPr>
        <w:t>40%</w:t>
      </w:r>
      <w:r>
        <w:rPr>
          <w:rFonts w:hint="eastAsia" w:ascii="Times New Roman" w:hAnsi="Times New Roman" w:cs="Times New Roman"/>
          <w:kern w:val="2"/>
        </w:rPr>
        <w:t>建设。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另有储备监控杆、交通指示牌、红绿灯、道路指示牌等站址资源</w:t>
      </w:r>
      <w:r>
        <w:rPr>
          <w:rFonts w:ascii="Times New Roman" w:hAnsi="Times New Roman" w:cs="Times New Roman"/>
          <w:kern w:val="2"/>
        </w:rPr>
        <w:t>568</w:t>
      </w:r>
      <w:r>
        <w:rPr>
          <w:rFonts w:hint="eastAsia" w:ascii="Times New Roman" w:hAnsi="Times New Roman" w:cs="Times New Roman"/>
          <w:kern w:val="2"/>
        </w:rPr>
        <w:t>个，满足规划期内外</w:t>
      </w:r>
      <w:r>
        <w:rPr>
          <w:rFonts w:ascii="Times New Roman" w:hAnsi="Times New Roman" w:cs="Times New Roman"/>
          <w:kern w:val="2"/>
        </w:rPr>
        <w:t>5G</w:t>
      </w:r>
      <w:r>
        <w:rPr>
          <w:rFonts w:hint="eastAsia" w:ascii="Times New Roman" w:hAnsi="Times New Roman" w:cs="Times New Roman"/>
          <w:kern w:val="2"/>
        </w:rPr>
        <w:t>基站柔性建设需求；储备资源站点，在规划二阶段（</w:t>
      </w:r>
      <w:r>
        <w:rPr>
          <w:rFonts w:ascii="Times New Roman" w:hAnsi="Times New Roman" w:cs="Times New Roman"/>
          <w:kern w:val="2"/>
        </w:rPr>
        <w:t>2023-2025</w:t>
      </w:r>
      <w:r>
        <w:rPr>
          <w:rFonts w:hint="eastAsia" w:ascii="Times New Roman" w:hAnsi="Times New Roman" w:cs="Times New Roman"/>
          <w:kern w:val="2"/>
        </w:rPr>
        <w:t>年）完成改造建设。</w:t>
      </w:r>
    </w:p>
    <w:p>
      <w:pPr>
        <w:pStyle w:val="8"/>
        <w:spacing w:before="48" w:after="48"/>
      </w:pPr>
      <w:r>
        <w:rPr>
          <w:rFonts w:hint="eastAsia"/>
        </w:rPr>
        <w:t>表</w:t>
      </w:r>
      <w:r>
        <w:t xml:space="preserve">6-7 </w:t>
      </w:r>
      <w:r>
        <w:rPr>
          <w:rFonts w:hint="eastAsia"/>
        </w:rPr>
        <w:t>梁平区</w:t>
      </w:r>
      <w:r>
        <w:t>5G</w:t>
      </w:r>
      <w:r>
        <w:rPr>
          <w:rFonts w:hint="eastAsia"/>
        </w:rPr>
        <w:t>规划基站建设类型表</w:t>
      </w:r>
    </w:p>
    <w:tbl>
      <w:tblPr>
        <w:tblStyle w:val="30"/>
        <w:tblW w:w="9237" w:type="dxa"/>
        <w:tblInd w:w="113" w:type="dxa"/>
        <w:tblLayout w:type="autofit"/>
        <w:tblCellMar>
          <w:top w:w="0" w:type="dxa"/>
          <w:left w:w="108" w:type="dxa"/>
          <w:bottom w:w="0" w:type="dxa"/>
          <w:right w:w="108" w:type="dxa"/>
        </w:tblCellMar>
      </w:tblPr>
      <w:tblGrid>
        <w:gridCol w:w="752"/>
        <w:gridCol w:w="6243"/>
        <w:gridCol w:w="2242"/>
      </w:tblGrid>
      <w:tr>
        <w:tblPrEx>
          <w:tblCellMar>
            <w:top w:w="0" w:type="dxa"/>
            <w:left w:w="108" w:type="dxa"/>
            <w:bottom w:w="0" w:type="dxa"/>
            <w:right w:w="108" w:type="dxa"/>
          </w:tblCellMar>
        </w:tblPrEx>
        <w:trPr>
          <w:trHeight w:val="254" w:hRule="atLeast"/>
        </w:trPr>
        <w:tc>
          <w:tcPr>
            <w:tcW w:w="752" w:type="dxa"/>
            <w:tcBorders>
              <w:top w:val="single" w:color="auto" w:sz="4" w:space="0"/>
              <w:left w:val="single" w:color="auto" w:sz="4" w:space="0"/>
              <w:bottom w:val="single" w:color="auto" w:sz="4" w:space="0"/>
              <w:right w:val="single" w:color="auto" w:sz="4" w:space="0"/>
            </w:tcBorders>
            <w:noWrap/>
            <w:vAlign w:val="center"/>
          </w:tcPr>
          <w:p>
            <w:pPr>
              <w:jc w:val="center"/>
              <w:rPr>
                <w:b/>
                <w:bCs/>
                <w:color w:val="000000"/>
              </w:rPr>
            </w:pPr>
            <w:r>
              <w:rPr>
                <w:rFonts w:hint="eastAsia"/>
                <w:b/>
                <w:bCs/>
                <w:color w:val="000000"/>
              </w:rPr>
              <w:t>序号</w:t>
            </w:r>
          </w:p>
        </w:tc>
        <w:tc>
          <w:tcPr>
            <w:tcW w:w="6243" w:type="dxa"/>
            <w:tcBorders>
              <w:top w:val="single" w:color="auto" w:sz="4" w:space="0"/>
              <w:left w:val="nil"/>
              <w:bottom w:val="single" w:color="auto" w:sz="4" w:space="0"/>
              <w:right w:val="single" w:color="auto" w:sz="4" w:space="0"/>
            </w:tcBorders>
            <w:noWrap/>
            <w:vAlign w:val="center"/>
          </w:tcPr>
          <w:p>
            <w:pPr>
              <w:jc w:val="center"/>
              <w:rPr>
                <w:b/>
                <w:bCs/>
                <w:color w:val="000000"/>
              </w:rPr>
            </w:pPr>
            <w:r>
              <w:rPr>
                <w:rFonts w:hint="eastAsia"/>
                <w:b/>
                <w:bCs/>
                <w:color w:val="000000"/>
              </w:rPr>
              <w:t>类型</w:t>
            </w:r>
          </w:p>
        </w:tc>
        <w:tc>
          <w:tcPr>
            <w:tcW w:w="2242" w:type="dxa"/>
            <w:tcBorders>
              <w:top w:val="single" w:color="auto" w:sz="4" w:space="0"/>
              <w:left w:val="nil"/>
              <w:bottom w:val="single" w:color="auto" w:sz="4" w:space="0"/>
              <w:right w:val="single" w:color="auto" w:sz="4" w:space="0"/>
            </w:tcBorders>
            <w:noWrap/>
            <w:vAlign w:val="center"/>
          </w:tcPr>
          <w:p>
            <w:pPr>
              <w:jc w:val="center"/>
              <w:rPr>
                <w:b/>
                <w:bCs/>
                <w:color w:val="000000"/>
              </w:rPr>
            </w:pPr>
            <w:r>
              <w:rPr>
                <w:rFonts w:hint="eastAsia"/>
                <w:b/>
                <w:bCs/>
                <w:color w:val="000000"/>
              </w:rPr>
              <w:t>数量（个）</w:t>
            </w:r>
          </w:p>
        </w:tc>
      </w:tr>
      <w:tr>
        <w:tblPrEx>
          <w:tblCellMar>
            <w:top w:w="0" w:type="dxa"/>
            <w:left w:w="108" w:type="dxa"/>
            <w:bottom w:w="0" w:type="dxa"/>
            <w:right w:w="108" w:type="dxa"/>
          </w:tblCellMar>
        </w:tblPrEx>
        <w:trPr>
          <w:trHeight w:val="254" w:hRule="atLeast"/>
        </w:trPr>
        <w:tc>
          <w:tcPr>
            <w:tcW w:w="752"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1</w:t>
            </w:r>
          </w:p>
        </w:tc>
        <w:tc>
          <w:tcPr>
            <w:tcW w:w="6243"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改造现有基站</w:t>
            </w:r>
          </w:p>
        </w:tc>
        <w:tc>
          <w:tcPr>
            <w:tcW w:w="2242" w:type="dxa"/>
            <w:tcBorders>
              <w:top w:val="nil"/>
              <w:left w:val="nil"/>
              <w:bottom w:val="single" w:color="auto" w:sz="4" w:space="0"/>
              <w:right w:val="single" w:color="auto" w:sz="4" w:space="0"/>
            </w:tcBorders>
            <w:noWrap/>
            <w:vAlign w:val="center"/>
          </w:tcPr>
          <w:p>
            <w:pPr>
              <w:jc w:val="center"/>
              <w:rPr>
                <w:color w:val="000000"/>
              </w:rPr>
            </w:pPr>
            <w:r>
              <w:rPr>
                <w:color w:val="000000"/>
              </w:rPr>
              <w:t>1101</w:t>
            </w:r>
          </w:p>
        </w:tc>
      </w:tr>
      <w:tr>
        <w:tblPrEx>
          <w:tblCellMar>
            <w:top w:w="0" w:type="dxa"/>
            <w:left w:w="108" w:type="dxa"/>
            <w:bottom w:w="0" w:type="dxa"/>
            <w:right w:w="108" w:type="dxa"/>
          </w:tblCellMar>
        </w:tblPrEx>
        <w:trPr>
          <w:trHeight w:val="254" w:hRule="atLeast"/>
        </w:trPr>
        <w:tc>
          <w:tcPr>
            <w:tcW w:w="752"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2</w:t>
            </w:r>
          </w:p>
        </w:tc>
        <w:tc>
          <w:tcPr>
            <w:tcW w:w="6243"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新建室外基站</w:t>
            </w:r>
          </w:p>
        </w:tc>
        <w:tc>
          <w:tcPr>
            <w:tcW w:w="2242" w:type="dxa"/>
            <w:tcBorders>
              <w:top w:val="nil"/>
              <w:left w:val="nil"/>
              <w:bottom w:val="single" w:color="auto" w:sz="4" w:space="0"/>
              <w:right w:val="single" w:color="auto" w:sz="4" w:space="0"/>
            </w:tcBorders>
            <w:noWrap/>
            <w:vAlign w:val="center"/>
          </w:tcPr>
          <w:p>
            <w:pPr>
              <w:jc w:val="center"/>
              <w:rPr>
                <w:color w:val="000000"/>
              </w:rPr>
            </w:pPr>
            <w:r>
              <w:rPr>
                <w:color w:val="000000"/>
              </w:rPr>
              <w:t>298</w:t>
            </w:r>
          </w:p>
        </w:tc>
      </w:tr>
      <w:tr>
        <w:tblPrEx>
          <w:tblCellMar>
            <w:top w:w="0" w:type="dxa"/>
            <w:left w:w="108" w:type="dxa"/>
            <w:bottom w:w="0" w:type="dxa"/>
            <w:right w:w="108" w:type="dxa"/>
          </w:tblCellMar>
        </w:tblPrEx>
        <w:trPr>
          <w:trHeight w:val="254" w:hRule="atLeast"/>
        </w:trPr>
        <w:tc>
          <w:tcPr>
            <w:tcW w:w="752"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3</w:t>
            </w:r>
          </w:p>
        </w:tc>
        <w:tc>
          <w:tcPr>
            <w:tcW w:w="6243"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改造社会资源</w:t>
            </w:r>
          </w:p>
        </w:tc>
        <w:tc>
          <w:tcPr>
            <w:tcW w:w="2242" w:type="dxa"/>
            <w:tcBorders>
              <w:top w:val="nil"/>
              <w:left w:val="nil"/>
              <w:bottom w:val="single" w:color="auto" w:sz="4" w:space="0"/>
              <w:right w:val="single" w:color="auto" w:sz="4" w:space="0"/>
            </w:tcBorders>
            <w:noWrap/>
            <w:vAlign w:val="center"/>
          </w:tcPr>
          <w:p>
            <w:pPr>
              <w:jc w:val="center"/>
              <w:rPr>
                <w:color w:val="000000"/>
              </w:rPr>
            </w:pPr>
            <w:r>
              <w:rPr>
                <w:color w:val="000000"/>
              </w:rPr>
              <w:t>78</w:t>
            </w:r>
          </w:p>
        </w:tc>
      </w:tr>
      <w:tr>
        <w:tblPrEx>
          <w:tblCellMar>
            <w:top w:w="0" w:type="dxa"/>
            <w:left w:w="108" w:type="dxa"/>
            <w:bottom w:w="0" w:type="dxa"/>
            <w:right w:w="108" w:type="dxa"/>
          </w:tblCellMar>
        </w:tblPrEx>
        <w:trPr>
          <w:trHeight w:val="254" w:hRule="atLeast"/>
        </w:trPr>
        <w:tc>
          <w:tcPr>
            <w:tcW w:w="752"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4</w:t>
            </w:r>
          </w:p>
        </w:tc>
        <w:tc>
          <w:tcPr>
            <w:tcW w:w="6243"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新建室内分布及综合覆盖系统</w:t>
            </w:r>
          </w:p>
        </w:tc>
        <w:tc>
          <w:tcPr>
            <w:tcW w:w="2242" w:type="dxa"/>
            <w:tcBorders>
              <w:top w:val="nil"/>
              <w:left w:val="nil"/>
              <w:bottom w:val="single" w:color="auto" w:sz="4" w:space="0"/>
              <w:right w:val="single" w:color="auto" w:sz="4" w:space="0"/>
            </w:tcBorders>
            <w:noWrap/>
            <w:vAlign w:val="center"/>
          </w:tcPr>
          <w:p>
            <w:pPr>
              <w:jc w:val="center"/>
              <w:rPr>
                <w:color w:val="000000"/>
              </w:rPr>
            </w:pPr>
            <w:r>
              <w:rPr>
                <w:color w:val="000000"/>
              </w:rPr>
              <w:t>123</w:t>
            </w:r>
          </w:p>
        </w:tc>
      </w:tr>
      <w:tr>
        <w:tblPrEx>
          <w:tblCellMar>
            <w:top w:w="0" w:type="dxa"/>
            <w:left w:w="108" w:type="dxa"/>
            <w:bottom w:w="0" w:type="dxa"/>
            <w:right w:w="108" w:type="dxa"/>
          </w:tblCellMar>
        </w:tblPrEx>
        <w:trPr>
          <w:trHeight w:val="254" w:hRule="atLeast"/>
        </w:trPr>
        <w:tc>
          <w:tcPr>
            <w:tcW w:w="752"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5</w:t>
            </w:r>
          </w:p>
        </w:tc>
        <w:tc>
          <w:tcPr>
            <w:tcW w:w="6243"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合计</w:t>
            </w:r>
          </w:p>
        </w:tc>
        <w:tc>
          <w:tcPr>
            <w:tcW w:w="2242" w:type="dxa"/>
            <w:tcBorders>
              <w:top w:val="nil"/>
              <w:left w:val="nil"/>
              <w:bottom w:val="single" w:color="auto" w:sz="4" w:space="0"/>
              <w:right w:val="single" w:color="auto" w:sz="4" w:space="0"/>
            </w:tcBorders>
            <w:noWrap/>
            <w:vAlign w:val="center"/>
          </w:tcPr>
          <w:p>
            <w:pPr>
              <w:jc w:val="center"/>
              <w:rPr>
                <w:color w:val="000000"/>
              </w:rPr>
            </w:pPr>
            <w:r>
              <w:rPr>
                <w:color w:val="000000"/>
              </w:rPr>
              <w:t>1600</w:t>
            </w:r>
          </w:p>
        </w:tc>
      </w:tr>
      <w:tr>
        <w:tblPrEx>
          <w:tblCellMar>
            <w:top w:w="0" w:type="dxa"/>
            <w:left w:w="108" w:type="dxa"/>
            <w:bottom w:w="0" w:type="dxa"/>
            <w:right w:w="108" w:type="dxa"/>
          </w:tblCellMar>
        </w:tblPrEx>
        <w:trPr>
          <w:trHeight w:val="254" w:hRule="atLeast"/>
        </w:trPr>
        <w:tc>
          <w:tcPr>
            <w:tcW w:w="752" w:type="dxa"/>
            <w:tcBorders>
              <w:top w:val="nil"/>
              <w:left w:val="single" w:color="auto" w:sz="4" w:space="0"/>
              <w:bottom w:val="single" w:color="auto" w:sz="4" w:space="0"/>
              <w:right w:val="single" w:color="auto" w:sz="4" w:space="0"/>
            </w:tcBorders>
            <w:noWrap/>
            <w:vAlign w:val="center"/>
          </w:tcPr>
          <w:p>
            <w:pPr>
              <w:jc w:val="center"/>
              <w:rPr>
                <w:color w:val="000000"/>
              </w:rPr>
            </w:pPr>
            <w:r>
              <w:rPr>
                <w:color w:val="000000"/>
              </w:rPr>
              <w:t>6</w:t>
            </w:r>
          </w:p>
        </w:tc>
        <w:tc>
          <w:tcPr>
            <w:tcW w:w="6243" w:type="dxa"/>
            <w:tcBorders>
              <w:top w:val="nil"/>
              <w:left w:val="nil"/>
              <w:bottom w:val="single" w:color="auto" w:sz="4" w:space="0"/>
              <w:right w:val="single" w:color="auto" w:sz="4" w:space="0"/>
            </w:tcBorders>
            <w:noWrap/>
            <w:vAlign w:val="center"/>
          </w:tcPr>
          <w:p>
            <w:pPr>
              <w:jc w:val="center"/>
              <w:rPr>
                <w:color w:val="000000"/>
              </w:rPr>
            </w:pPr>
            <w:r>
              <w:rPr>
                <w:rFonts w:hint="eastAsia"/>
                <w:color w:val="000000"/>
              </w:rPr>
              <w:t>站址储备资源（监控杆、交通指示牌、道路指示牌）</w:t>
            </w:r>
          </w:p>
        </w:tc>
        <w:tc>
          <w:tcPr>
            <w:tcW w:w="2242" w:type="dxa"/>
            <w:tcBorders>
              <w:top w:val="nil"/>
              <w:left w:val="nil"/>
              <w:bottom w:val="single" w:color="auto" w:sz="4" w:space="0"/>
              <w:right w:val="single" w:color="auto" w:sz="4" w:space="0"/>
            </w:tcBorders>
            <w:noWrap/>
            <w:vAlign w:val="center"/>
          </w:tcPr>
          <w:p>
            <w:pPr>
              <w:jc w:val="center"/>
              <w:rPr>
                <w:color w:val="000000"/>
              </w:rPr>
            </w:pPr>
            <w:r>
              <w:rPr>
                <w:color w:val="000000"/>
              </w:rPr>
              <w:t>568</w:t>
            </w:r>
          </w:p>
        </w:tc>
      </w:tr>
    </w:tbl>
    <w:p>
      <w:pPr>
        <w:widowControl w:val="0"/>
        <w:snapToGrid w:val="0"/>
        <w:spacing w:line="360" w:lineRule="auto"/>
        <w:contextualSpacing/>
        <w:jc w:val="both"/>
        <w:rPr>
          <w:rFonts w:ascii="Times New Roman" w:hAnsi="Times New Roman" w:cs="Times New Roman"/>
          <w:kern w:val="2"/>
        </w:rPr>
      </w:pPr>
    </w:p>
    <w:p>
      <w:pPr>
        <w:widowControl w:val="0"/>
        <w:snapToGrid w:val="0"/>
        <w:spacing w:line="360" w:lineRule="auto"/>
        <w:ind w:firstLine="482" w:firstLineChars="200"/>
        <w:contextualSpacing/>
        <w:jc w:val="both"/>
        <w:rPr>
          <w:rFonts w:ascii="Times New Roman" w:hAnsi="Times New Roman" w:cs="Times New Roman"/>
          <w:b/>
          <w:kern w:val="2"/>
        </w:rPr>
      </w:pPr>
      <w:r>
        <w:rPr>
          <w:rFonts w:hint="eastAsia" w:ascii="Times New Roman" w:hAnsi="Times New Roman" w:cs="Times New Roman"/>
          <w:b/>
          <w:kern w:val="2"/>
        </w:rPr>
        <w:t>（</w:t>
      </w:r>
      <w:r>
        <w:rPr>
          <w:rFonts w:ascii="Times New Roman" w:hAnsi="Times New Roman" w:cs="Times New Roman"/>
          <w:b/>
          <w:kern w:val="2"/>
        </w:rPr>
        <w:t>3</w:t>
      </w:r>
      <w:r>
        <w:rPr>
          <w:rFonts w:hint="eastAsia" w:ascii="Times New Roman" w:hAnsi="Times New Roman" w:cs="Times New Roman"/>
          <w:b/>
          <w:kern w:val="2"/>
        </w:rPr>
        <w:t>）规划基站落地建设中站址偏移量</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借鉴通信工程中已取得一些经验，以及人们逐步提高的环保意识与对通信基站辐射的正确认知水平不相匹配，规划基站在未来的实际落地中会遭遇一些阻碍。为快速实现精品优质移动网络在全区的覆盖，针对不同建设场景进行了基站站址偏移的规划。</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新建站址在实际建设中可根据地形地貌、建筑物分布、道路走向等具体因素进行适当调整。</w:t>
      </w:r>
    </w:p>
    <w:p>
      <w:pPr>
        <w:widowControl w:val="0"/>
        <w:numPr>
          <w:ilvl w:val="0"/>
          <w:numId w:val="49"/>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中心城区、发展新区内，允许在规划站址周围</w:t>
      </w:r>
      <w:r>
        <w:rPr>
          <w:rFonts w:ascii="Times New Roman" w:hAnsi="Times New Roman" w:cs="Times New Roman"/>
          <w:kern w:val="2"/>
        </w:rPr>
        <w:t>50</w:t>
      </w:r>
      <w:r>
        <w:rPr>
          <w:rFonts w:hint="eastAsia" w:ascii="Times New Roman" w:hAnsi="Times New Roman" w:cs="Times New Roman"/>
          <w:kern w:val="2"/>
        </w:rPr>
        <w:t>米内调整；</w:t>
      </w:r>
    </w:p>
    <w:p>
      <w:pPr>
        <w:widowControl w:val="0"/>
        <w:numPr>
          <w:ilvl w:val="0"/>
          <w:numId w:val="49"/>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乡镇区域，允许在规划站址周围</w:t>
      </w:r>
      <w:r>
        <w:rPr>
          <w:rFonts w:ascii="Times New Roman" w:hAnsi="Times New Roman" w:cs="Times New Roman"/>
          <w:kern w:val="2"/>
        </w:rPr>
        <w:t>100</w:t>
      </w:r>
      <w:r>
        <w:rPr>
          <w:rFonts w:hint="eastAsia" w:ascii="Times New Roman" w:hAnsi="Times New Roman" w:cs="Times New Roman"/>
          <w:kern w:val="2"/>
        </w:rPr>
        <w:t>米内调整；</w:t>
      </w:r>
    </w:p>
    <w:p>
      <w:pPr>
        <w:widowControl w:val="0"/>
        <w:numPr>
          <w:ilvl w:val="0"/>
          <w:numId w:val="49"/>
        </w:numPr>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高铁、高速公路场景允许在</w:t>
      </w:r>
      <w:r>
        <w:rPr>
          <w:rFonts w:ascii="Times New Roman" w:hAnsi="Times New Roman" w:cs="Times New Roman"/>
          <w:kern w:val="2"/>
        </w:rPr>
        <w:t>50</w:t>
      </w:r>
      <w:r>
        <w:rPr>
          <w:rFonts w:hint="eastAsia" w:ascii="Times New Roman" w:hAnsi="Times New Roman" w:cs="Times New Roman"/>
          <w:kern w:val="2"/>
        </w:rPr>
        <w:t>米内调整；</w:t>
      </w:r>
    </w:p>
    <w:p>
      <w:pPr>
        <w:widowControl w:val="0"/>
        <w:snapToGrid w:val="0"/>
        <w:spacing w:line="360" w:lineRule="auto"/>
        <w:ind w:firstLine="482" w:firstLineChars="200"/>
        <w:contextualSpacing/>
        <w:jc w:val="both"/>
        <w:rPr>
          <w:rFonts w:ascii="Times New Roman" w:hAnsi="Times New Roman" w:cs="Times New Roman"/>
          <w:b/>
          <w:kern w:val="2"/>
        </w:rPr>
      </w:pPr>
      <w:r>
        <w:rPr>
          <w:rFonts w:hint="eastAsia" w:ascii="Times New Roman" w:hAnsi="Times New Roman" w:cs="Times New Roman"/>
          <w:b/>
          <w:kern w:val="2"/>
        </w:rPr>
        <w:t>（</w:t>
      </w:r>
      <w:r>
        <w:rPr>
          <w:rFonts w:ascii="Times New Roman" w:hAnsi="Times New Roman" w:cs="Times New Roman"/>
          <w:b/>
          <w:kern w:val="2"/>
        </w:rPr>
        <w:t>4</w:t>
      </w:r>
      <w:r>
        <w:rPr>
          <w:rFonts w:hint="eastAsia" w:ascii="Times New Roman" w:hAnsi="Times New Roman" w:cs="Times New Roman"/>
          <w:b/>
          <w:kern w:val="2"/>
        </w:rPr>
        <w:t>）梁平</w:t>
      </w:r>
      <w:r>
        <w:rPr>
          <w:rFonts w:ascii="Times New Roman" w:hAnsi="Times New Roman" w:cs="Times New Roman"/>
          <w:b/>
          <w:kern w:val="2"/>
        </w:rPr>
        <w:t>5G</w:t>
      </w:r>
      <w:r>
        <w:rPr>
          <w:rFonts w:hint="eastAsia" w:ascii="Times New Roman" w:hAnsi="Times New Roman" w:cs="Times New Roman"/>
          <w:b/>
          <w:kern w:val="2"/>
        </w:rPr>
        <w:t>规划基站阶段实施计划</w:t>
      </w:r>
    </w:p>
    <w:p>
      <w:pPr>
        <w:widowControl w:val="0"/>
        <w:snapToGrid w:val="0"/>
        <w:spacing w:line="360" w:lineRule="auto"/>
        <w:ind w:firstLine="1080" w:firstLineChars="450"/>
        <w:contextualSpacing/>
        <w:jc w:val="both"/>
        <w:rPr>
          <w:rFonts w:ascii="Times New Roman" w:hAnsi="Times New Roman" w:cs="Times New Roman"/>
          <w:kern w:val="2"/>
        </w:rPr>
      </w:pPr>
      <w:r>
        <w:rPr>
          <w:rFonts w:hint="eastAsia" w:ascii="Times New Roman" w:hAnsi="Times New Roman" w:cs="Times New Roman"/>
          <w:kern w:val="2"/>
        </w:rPr>
        <w:t>梁平</w:t>
      </w:r>
      <w:r>
        <w:rPr>
          <w:rFonts w:ascii="Times New Roman" w:hAnsi="Times New Roman" w:cs="Times New Roman"/>
          <w:kern w:val="2"/>
        </w:rPr>
        <w:t>1600</w:t>
      </w:r>
      <w:r>
        <w:rPr>
          <w:rFonts w:hint="eastAsia" w:ascii="Times New Roman" w:hAnsi="Times New Roman" w:cs="Times New Roman"/>
          <w:kern w:val="2"/>
        </w:rPr>
        <w:t>个规划基站分成两阶段建设完成。</w:t>
      </w:r>
    </w:p>
    <w:p>
      <w:pPr>
        <w:widowControl w:val="0"/>
        <w:numPr>
          <w:ilvl w:val="0"/>
          <w:numId w:val="50"/>
        </w:numPr>
        <w:snapToGrid w:val="0"/>
        <w:spacing w:line="360" w:lineRule="auto"/>
        <w:ind w:left="1157"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规划近期（</w:t>
      </w:r>
      <w:r>
        <w:rPr>
          <w:rFonts w:ascii="Times New Roman" w:hAnsi="Times New Roman" w:cs="Times New Roman"/>
          <w:kern w:val="2"/>
        </w:rPr>
        <w:t>2020-2022</w:t>
      </w:r>
      <w:r>
        <w:rPr>
          <w:rFonts w:hint="eastAsia" w:ascii="Times New Roman" w:hAnsi="Times New Roman" w:cs="Times New Roman"/>
          <w:kern w:val="2"/>
        </w:rPr>
        <w:t>年）完成规划总量</w:t>
      </w:r>
      <w:r>
        <w:rPr>
          <w:rFonts w:ascii="Times New Roman" w:hAnsi="Times New Roman" w:cs="Times New Roman"/>
          <w:kern w:val="2"/>
        </w:rPr>
        <w:t>60%</w:t>
      </w:r>
      <w:r>
        <w:rPr>
          <w:rFonts w:hint="eastAsia" w:ascii="Times New Roman" w:hAnsi="Times New Roman" w:cs="Times New Roman"/>
          <w:kern w:val="2"/>
        </w:rPr>
        <w:t>的建设，实现梁平区</w:t>
      </w:r>
      <w:r>
        <w:rPr>
          <w:rFonts w:ascii="Times New Roman" w:hAnsi="Times New Roman" w:cs="Times New Roman"/>
          <w:kern w:val="2"/>
        </w:rPr>
        <w:t>5G</w:t>
      </w:r>
      <w:r>
        <w:rPr>
          <w:rFonts w:hint="eastAsia" w:ascii="Times New Roman" w:hAnsi="Times New Roman" w:cs="Times New Roman"/>
          <w:kern w:val="2"/>
        </w:rPr>
        <w:t>网络基础覆盖。</w:t>
      </w:r>
    </w:p>
    <w:p>
      <w:pPr>
        <w:widowControl w:val="0"/>
        <w:numPr>
          <w:ilvl w:val="0"/>
          <w:numId w:val="50"/>
        </w:numPr>
        <w:snapToGrid w:val="0"/>
        <w:spacing w:line="360" w:lineRule="auto"/>
        <w:ind w:left="1157" w:firstLine="480" w:firstLineChars="200"/>
        <w:contextualSpacing/>
        <w:jc w:val="both"/>
        <w:rPr>
          <w:rFonts w:ascii="Times New Roman" w:hAnsi="Times New Roman" w:cs="Times New Roman"/>
          <w:kern w:val="2"/>
        </w:rPr>
      </w:pPr>
      <w:r>
        <w:rPr>
          <w:rFonts w:hint="eastAsia" w:ascii="Times New Roman" w:hAnsi="Times New Roman" w:cs="Times New Roman"/>
          <w:kern w:val="2"/>
        </w:rPr>
        <w:t>规划远期（</w:t>
      </w:r>
      <w:r>
        <w:rPr>
          <w:rFonts w:ascii="Times New Roman" w:hAnsi="Times New Roman" w:cs="Times New Roman"/>
          <w:kern w:val="2"/>
        </w:rPr>
        <w:t>2023-2025</w:t>
      </w:r>
      <w:r>
        <w:rPr>
          <w:rFonts w:hint="eastAsia" w:ascii="Times New Roman" w:hAnsi="Times New Roman" w:cs="Times New Roman"/>
          <w:kern w:val="2"/>
        </w:rPr>
        <w:t>年）完成规划总量</w:t>
      </w:r>
      <w:r>
        <w:rPr>
          <w:rFonts w:ascii="Times New Roman" w:hAnsi="Times New Roman" w:cs="Times New Roman"/>
          <w:kern w:val="2"/>
        </w:rPr>
        <w:t>40%</w:t>
      </w:r>
      <w:r>
        <w:rPr>
          <w:rFonts w:hint="eastAsia" w:ascii="Times New Roman" w:hAnsi="Times New Roman" w:cs="Times New Roman"/>
          <w:kern w:val="2"/>
        </w:rPr>
        <w:t>的建设，实现梁平区</w:t>
      </w:r>
      <w:r>
        <w:rPr>
          <w:rFonts w:ascii="Times New Roman" w:hAnsi="Times New Roman" w:cs="Times New Roman"/>
          <w:kern w:val="2"/>
        </w:rPr>
        <w:t>5G</w:t>
      </w:r>
      <w:r>
        <w:rPr>
          <w:rFonts w:hint="eastAsia" w:ascii="Times New Roman" w:hAnsi="Times New Roman" w:cs="Times New Roman"/>
          <w:kern w:val="2"/>
        </w:rPr>
        <w:t>网络厚度覆盖。</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梁平</w:t>
      </w:r>
      <w:r>
        <w:rPr>
          <w:rFonts w:ascii="Times New Roman" w:hAnsi="Times New Roman" w:cs="Times New Roman"/>
          <w:kern w:val="2"/>
        </w:rPr>
        <w:t>568</w:t>
      </w:r>
      <w:r>
        <w:rPr>
          <w:rFonts w:hint="eastAsia" w:ascii="Times New Roman" w:hAnsi="Times New Roman" w:cs="Times New Roman"/>
          <w:kern w:val="2"/>
        </w:rPr>
        <w:t>个站点储备资源（监控杆、道路指示牌），在规划远期（</w:t>
      </w:r>
      <w:r>
        <w:rPr>
          <w:rFonts w:ascii="Times New Roman" w:hAnsi="Times New Roman" w:cs="Times New Roman"/>
          <w:kern w:val="2"/>
        </w:rPr>
        <w:t>2023-2025</w:t>
      </w:r>
      <w:r>
        <w:rPr>
          <w:rFonts w:hint="eastAsia" w:ascii="Times New Roman" w:hAnsi="Times New Roman" w:cs="Times New Roman"/>
          <w:kern w:val="2"/>
        </w:rPr>
        <w:t>年）完成改造建设。</w:t>
      </w:r>
    </w:p>
    <w:p>
      <w:pPr>
        <w:widowControl w:val="0"/>
        <w:snapToGrid w:val="0"/>
        <w:spacing w:line="360" w:lineRule="auto"/>
        <w:ind w:firstLine="482" w:firstLineChars="200"/>
        <w:contextualSpacing/>
        <w:jc w:val="both"/>
        <w:rPr>
          <w:rFonts w:ascii="Times New Roman" w:hAnsi="Times New Roman" w:cs="Times New Roman"/>
          <w:b/>
          <w:kern w:val="2"/>
        </w:rPr>
      </w:pPr>
      <w:r>
        <w:rPr>
          <w:rFonts w:hint="eastAsia" w:ascii="Times New Roman" w:hAnsi="Times New Roman" w:cs="Times New Roman"/>
          <w:b/>
          <w:kern w:val="2"/>
        </w:rPr>
        <w:t>（</w:t>
      </w:r>
      <w:r>
        <w:rPr>
          <w:rFonts w:ascii="Times New Roman" w:hAnsi="Times New Roman" w:cs="Times New Roman"/>
          <w:b/>
          <w:kern w:val="2"/>
        </w:rPr>
        <w:t>5</w:t>
      </w:r>
      <w:r>
        <w:rPr>
          <w:rFonts w:hint="eastAsia" w:ascii="Times New Roman" w:hAnsi="Times New Roman" w:cs="Times New Roman"/>
          <w:b/>
          <w:kern w:val="2"/>
        </w:rPr>
        <w:t>）梁平</w:t>
      </w:r>
      <w:r>
        <w:rPr>
          <w:rFonts w:ascii="Times New Roman" w:hAnsi="Times New Roman" w:cs="Times New Roman"/>
          <w:b/>
          <w:kern w:val="2"/>
        </w:rPr>
        <w:t>5G</w:t>
      </w:r>
      <w:r>
        <w:rPr>
          <w:rFonts w:hint="eastAsia" w:ascii="Times New Roman" w:hAnsi="Times New Roman" w:cs="Times New Roman"/>
          <w:b/>
          <w:kern w:val="2"/>
        </w:rPr>
        <w:t>规划完成后效果</w:t>
      </w:r>
    </w:p>
    <w:p>
      <w:pPr>
        <w:widowControl w:val="0"/>
        <w:snapToGrid w:val="0"/>
        <w:spacing w:line="360" w:lineRule="auto"/>
        <w:ind w:firstLine="480"/>
        <w:contextualSpacing/>
        <w:jc w:val="both"/>
        <w:rPr>
          <w:rFonts w:ascii="Times New Roman" w:hAnsi="Times New Roman" w:cs="Times New Roman"/>
          <w:kern w:val="2"/>
        </w:rPr>
      </w:pPr>
      <w:r>
        <w:rPr>
          <w:rFonts w:hint="eastAsia" w:ascii="Times New Roman" w:hAnsi="Times New Roman" w:cs="Times New Roman"/>
          <w:kern w:val="2"/>
        </w:rPr>
        <w:t>规划期内，建设完成后的梁平</w:t>
      </w:r>
      <w:r>
        <w:rPr>
          <w:rFonts w:ascii="Times New Roman" w:hAnsi="Times New Roman" w:cs="Times New Roman"/>
          <w:kern w:val="2"/>
        </w:rPr>
        <w:t>5G</w:t>
      </w:r>
      <w:r>
        <w:rPr>
          <w:rFonts w:hint="eastAsia" w:ascii="Times New Roman" w:hAnsi="Times New Roman" w:cs="Times New Roman"/>
          <w:kern w:val="2"/>
        </w:rPr>
        <w:t>通信站址和通信机房，可以满足运营商和广电对</w:t>
      </w:r>
      <w:r>
        <w:rPr>
          <w:rFonts w:ascii="Times New Roman" w:hAnsi="Times New Roman" w:cs="Times New Roman"/>
          <w:kern w:val="2"/>
        </w:rPr>
        <w:t>5G</w:t>
      </w:r>
      <w:r>
        <w:rPr>
          <w:rFonts w:hint="eastAsia" w:ascii="Times New Roman" w:hAnsi="Times New Roman" w:cs="Times New Roman"/>
          <w:kern w:val="2"/>
        </w:rPr>
        <w:t>铁塔、机房等配套基础设施的需求，进而打造健壮的梁平</w:t>
      </w:r>
      <w:r>
        <w:rPr>
          <w:rFonts w:ascii="Times New Roman" w:hAnsi="Times New Roman" w:cs="Times New Roman"/>
          <w:kern w:val="2"/>
        </w:rPr>
        <w:t>5G</w:t>
      </w:r>
      <w:r>
        <w:rPr>
          <w:rFonts w:hint="eastAsia" w:ascii="Times New Roman" w:hAnsi="Times New Roman" w:cs="Times New Roman"/>
          <w:kern w:val="2"/>
        </w:rPr>
        <w:t>网络。</w:t>
      </w:r>
    </w:p>
    <w:p>
      <w:pPr>
        <w:widowControl w:val="0"/>
        <w:snapToGrid w:val="0"/>
        <w:spacing w:line="360" w:lineRule="auto"/>
        <w:ind w:firstLine="480"/>
        <w:contextualSpacing/>
        <w:jc w:val="both"/>
        <w:rPr>
          <w:rFonts w:ascii="Times New Roman" w:hAnsi="Times New Roman" w:cs="Times New Roman"/>
          <w:b/>
          <w:kern w:val="2"/>
        </w:rPr>
      </w:pPr>
      <w:r>
        <w:rPr>
          <w:rFonts w:hint="eastAsia" w:ascii="Times New Roman" w:hAnsi="Times New Roman" w:cs="Times New Roman"/>
          <w:kern w:val="2"/>
        </w:rPr>
        <w:t>规划期内，梁平</w:t>
      </w:r>
      <w:r>
        <w:rPr>
          <w:rFonts w:ascii="Times New Roman" w:hAnsi="Times New Roman" w:cs="Times New Roman"/>
          <w:kern w:val="2"/>
        </w:rPr>
        <w:t>5G</w:t>
      </w:r>
      <w:r>
        <w:rPr>
          <w:rFonts w:hint="eastAsia" w:ascii="Times New Roman" w:hAnsi="Times New Roman" w:cs="Times New Roman"/>
          <w:kern w:val="2"/>
        </w:rPr>
        <w:t>网络建设完成，可以充分满足公用通信业务需求、专网通信需求及各类智能应用通信需求，全面涵盖个人和政企两类用户群体。也为未来梁平智慧城市建设提供泛在、高速、安全的新一代移动通信网。</w:t>
      </w:r>
    </w:p>
    <w:p>
      <w:pPr>
        <w:widowControl w:val="0"/>
        <w:snapToGrid w:val="0"/>
        <w:spacing w:line="360" w:lineRule="auto"/>
        <w:contextualSpacing/>
        <w:jc w:val="both"/>
        <w:rPr>
          <w:rFonts w:ascii="Times New Roman" w:hAnsi="Times New Roman" w:cs="Times New Roman"/>
          <w:kern w:val="2"/>
        </w:rPr>
      </w:pPr>
      <w:r>
        <w:rPr>
          <w:rFonts w:ascii="Times New Roman" w:hAnsi="Times New Roman" w:cs="Times New Roman"/>
          <w:kern w:val="2"/>
        </w:rPr>
        <w:pict>
          <v:shape id="_x0000_i1103" o:spt="75" type="#_x0000_t75" style="height:219pt;width:461.25pt;" filled="f" o:preferrelative="t" stroked="f" coordsize="21600,21600">
            <v:path/>
            <v:fill on="f" focussize="0,0"/>
            <v:stroke on="f" joinstyle="miter"/>
            <v:imagedata r:id="rId90" o:title=""/>
            <o:lock v:ext="edit" aspectratio="t"/>
            <w10:wrap type="none"/>
            <w10:anchorlock/>
          </v:shape>
        </w:pict>
      </w:r>
    </w:p>
    <w:p>
      <w:pPr>
        <w:pStyle w:val="8"/>
        <w:spacing w:before="48" w:after="48"/>
      </w:pPr>
      <w:r>
        <w:rPr>
          <w:rFonts w:hint="eastAsia"/>
        </w:rPr>
        <w:t>图</w:t>
      </w:r>
      <w:r>
        <w:t xml:space="preserve">6-8 </w:t>
      </w:r>
      <w:r>
        <w:rPr>
          <w:rFonts w:hint="eastAsia"/>
        </w:rPr>
        <w:t>梁平</w:t>
      </w:r>
      <w:r>
        <w:t>5G</w:t>
      </w:r>
      <w:r>
        <w:rPr>
          <w:rFonts w:hint="eastAsia"/>
        </w:rPr>
        <w:t>规划成效展望</w:t>
      </w:r>
    </w:p>
    <w:p>
      <w:pPr>
        <w:pStyle w:val="5"/>
      </w:pPr>
      <w:bookmarkStart w:id="197" w:name="_Toc56092791"/>
      <w:r>
        <w:rPr>
          <w:rFonts w:hint="eastAsia"/>
        </w:rPr>
        <w:t>规划亮点呈现</w:t>
      </w:r>
      <w:bookmarkEnd w:id="197"/>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在本规划范围内，对梁平城市形象窗口展现的四个重点板块</w:t>
      </w:r>
      <w:r>
        <w:rPr>
          <w:rFonts w:ascii="Times New Roman" w:hAnsi="Times New Roman" w:cs="Times New Roman"/>
          <w:kern w:val="2"/>
        </w:rPr>
        <w:t>—</w:t>
      </w:r>
      <w:r>
        <w:rPr>
          <w:rFonts w:hint="eastAsia" w:ascii="Times New Roman" w:hAnsi="Times New Roman" w:cs="Times New Roman"/>
          <w:kern w:val="2"/>
        </w:rPr>
        <w:t>梁平工业园区、梁平农业园区、梁平商贸以及梁平风景区进行了全方位深度规划。规划完成后，这四个重点区域的</w:t>
      </w:r>
      <w:r>
        <w:rPr>
          <w:rFonts w:ascii="Times New Roman" w:hAnsi="Times New Roman" w:cs="Times New Roman"/>
          <w:kern w:val="2"/>
        </w:rPr>
        <w:t>5G</w:t>
      </w:r>
      <w:r>
        <w:rPr>
          <w:rFonts w:hint="eastAsia" w:ascii="Times New Roman" w:hAnsi="Times New Roman" w:cs="Times New Roman"/>
          <w:kern w:val="2"/>
        </w:rPr>
        <w:t>网络能够完全满足</w:t>
      </w:r>
      <w:r>
        <w:rPr>
          <w:rFonts w:ascii="Times New Roman" w:hAnsi="Times New Roman" w:cs="Times New Roman"/>
          <w:kern w:val="2"/>
        </w:rPr>
        <w:t>2B</w:t>
      </w:r>
      <w:r>
        <w:rPr>
          <w:rFonts w:hint="eastAsia" w:ascii="Times New Roman" w:hAnsi="Times New Roman" w:cs="Times New Roman"/>
          <w:kern w:val="2"/>
        </w:rPr>
        <w:t>、</w:t>
      </w:r>
      <w:r>
        <w:rPr>
          <w:rFonts w:ascii="Times New Roman" w:hAnsi="Times New Roman" w:cs="Times New Roman"/>
          <w:kern w:val="2"/>
        </w:rPr>
        <w:t>2C</w:t>
      </w:r>
      <w:r>
        <w:rPr>
          <w:rFonts w:hint="eastAsia" w:ascii="Times New Roman" w:hAnsi="Times New Roman" w:cs="Times New Roman"/>
          <w:kern w:val="2"/>
        </w:rPr>
        <w:t>业务需求。</w:t>
      </w:r>
    </w:p>
    <w:p>
      <w:pPr>
        <w:pStyle w:val="6"/>
        <w:numPr>
          <w:ilvl w:val="0"/>
          <w:numId w:val="51"/>
        </w:numPr>
        <w:rPr>
          <w:rFonts w:ascii="Times New Roman" w:hAnsi="Times New Roman"/>
          <w:kern w:val="44"/>
        </w:rPr>
      </w:pPr>
      <w:r>
        <w:rPr>
          <w:rStyle w:val="39"/>
          <w:rFonts w:hint="eastAsia"/>
          <w:bCs w:val="0"/>
        </w:rPr>
        <w:t>梁平工业园区</w:t>
      </w:r>
    </w:p>
    <w:p>
      <w:pPr>
        <w:widowControl w:val="0"/>
        <w:spacing w:line="360" w:lineRule="auto"/>
        <w:ind w:firstLine="480" w:firstLineChars="200"/>
        <w:rPr>
          <w:rFonts w:cs="Times New Roman"/>
          <w:kern w:val="2"/>
        </w:rPr>
      </w:pPr>
      <w:r>
        <w:rPr>
          <w:rFonts w:hint="eastAsia" w:cs="Times New Roman"/>
          <w:kern w:val="2"/>
        </w:rPr>
        <w:t>梁平工业园区主要分为</w:t>
      </w:r>
      <w:r>
        <w:rPr>
          <w:rFonts w:cs="Times New Roman"/>
          <w:kern w:val="2"/>
        </w:rPr>
        <w:t>3</w:t>
      </w:r>
      <w:r>
        <w:rPr>
          <w:rFonts w:hint="eastAsia" w:cs="Times New Roman"/>
          <w:kern w:val="2"/>
        </w:rPr>
        <w:t>个组团和</w:t>
      </w:r>
      <w:r>
        <w:rPr>
          <w:rFonts w:cs="Times New Roman"/>
          <w:kern w:val="2"/>
        </w:rPr>
        <w:t>2</w:t>
      </w:r>
      <w:r>
        <w:rPr>
          <w:rFonts w:hint="eastAsia" w:cs="Times New Roman"/>
          <w:kern w:val="2"/>
        </w:rPr>
        <w:t>个工业园区基地，分别为双桂组团，屏锦、回龙组团，福禄、石安组团，梁山创业园和云龙创业园。工业园区共计规划</w:t>
      </w:r>
      <w:r>
        <w:rPr>
          <w:rFonts w:cs="Times New Roman"/>
          <w:kern w:val="2"/>
        </w:rPr>
        <w:t>505</w:t>
      </w:r>
      <w:r>
        <w:rPr>
          <w:rFonts w:hint="eastAsia" w:cs="Times New Roman"/>
          <w:kern w:val="2"/>
        </w:rPr>
        <w:t>个</w:t>
      </w:r>
      <w:r>
        <w:rPr>
          <w:rFonts w:cs="Times New Roman"/>
          <w:kern w:val="2"/>
        </w:rPr>
        <w:t>5G</w:t>
      </w:r>
      <w:r>
        <w:rPr>
          <w:rFonts w:hint="eastAsia" w:cs="Times New Roman"/>
          <w:kern w:val="2"/>
        </w:rPr>
        <w:t>通信站点，其中规划建设宏站</w:t>
      </w:r>
      <w:r>
        <w:rPr>
          <w:rFonts w:cs="Times New Roman"/>
          <w:kern w:val="2"/>
        </w:rPr>
        <w:t>258</w:t>
      </w:r>
      <w:r>
        <w:rPr>
          <w:rFonts w:hint="eastAsia" w:cs="Times New Roman"/>
          <w:kern w:val="2"/>
        </w:rPr>
        <w:t>个，室内分布系统</w:t>
      </w:r>
      <w:r>
        <w:rPr>
          <w:rFonts w:cs="Times New Roman"/>
          <w:kern w:val="2"/>
        </w:rPr>
        <w:t>24</w:t>
      </w:r>
      <w:r>
        <w:rPr>
          <w:rFonts w:hint="eastAsia" w:cs="Times New Roman"/>
          <w:kern w:val="2"/>
        </w:rPr>
        <w:t>个，机房</w:t>
      </w:r>
      <w:r>
        <w:rPr>
          <w:rFonts w:cs="Times New Roman"/>
          <w:kern w:val="2"/>
        </w:rPr>
        <w:t>23</w:t>
      </w:r>
      <w:r>
        <w:rPr>
          <w:rFonts w:hint="eastAsia" w:cs="Times New Roman"/>
          <w:kern w:val="2"/>
        </w:rPr>
        <w:t>个，站址资源储备</w:t>
      </w:r>
      <w:r>
        <w:rPr>
          <w:rFonts w:cs="Times New Roman"/>
          <w:kern w:val="2"/>
        </w:rPr>
        <w:t>200</w:t>
      </w:r>
      <w:r>
        <w:rPr>
          <w:rFonts w:hint="eastAsia" w:cs="Times New Roman"/>
          <w:kern w:val="2"/>
        </w:rPr>
        <w:t>个。</w:t>
      </w:r>
    </w:p>
    <w:p>
      <w:pPr>
        <w:pStyle w:val="8"/>
        <w:spacing w:before="48" w:after="48"/>
      </w:pPr>
      <w:r>
        <w:rPr>
          <w:rFonts w:hint="eastAsia"/>
        </w:rPr>
        <w:t>表</w:t>
      </w:r>
      <w:r>
        <w:t xml:space="preserve">6-8 </w:t>
      </w:r>
      <w:r>
        <w:rPr>
          <w:rFonts w:hint="eastAsia"/>
        </w:rPr>
        <w:t>梁平工业园区</w:t>
      </w:r>
      <w:r>
        <w:t>5G</w:t>
      </w:r>
      <w:r>
        <w:rPr>
          <w:rFonts w:hint="eastAsia"/>
        </w:rPr>
        <w:t>基站规划建设分布情况</w:t>
      </w:r>
    </w:p>
    <w:tbl>
      <w:tblPr>
        <w:tblStyle w:val="30"/>
        <w:tblW w:w="8501" w:type="dxa"/>
        <w:jc w:val="center"/>
        <w:tblLayout w:type="autofit"/>
        <w:tblCellMar>
          <w:top w:w="0" w:type="dxa"/>
          <w:left w:w="108" w:type="dxa"/>
          <w:bottom w:w="0" w:type="dxa"/>
          <w:right w:w="108" w:type="dxa"/>
        </w:tblCellMar>
      </w:tblPr>
      <w:tblGrid>
        <w:gridCol w:w="807"/>
        <w:gridCol w:w="2398"/>
        <w:gridCol w:w="807"/>
        <w:gridCol w:w="807"/>
        <w:gridCol w:w="807"/>
        <w:gridCol w:w="807"/>
        <w:gridCol w:w="2068"/>
      </w:tblGrid>
      <w:tr>
        <w:tblPrEx>
          <w:tblCellMar>
            <w:top w:w="0" w:type="dxa"/>
            <w:left w:w="108" w:type="dxa"/>
            <w:bottom w:w="0" w:type="dxa"/>
            <w:right w:w="108" w:type="dxa"/>
          </w:tblCellMar>
        </w:tblPrEx>
        <w:trPr>
          <w:trHeight w:val="272" w:hRule="atLeast"/>
          <w:jc w:val="center"/>
        </w:trPr>
        <w:tc>
          <w:tcPr>
            <w:tcW w:w="807" w:type="dxa"/>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序号</w:t>
            </w:r>
          </w:p>
        </w:tc>
        <w:tc>
          <w:tcPr>
            <w:tcW w:w="2397"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规划区域</w:t>
            </w:r>
          </w:p>
        </w:tc>
        <w:tc>
          <w:tcPr>
            <w:tcW w:w="807"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总计</w:t>
            </w:r>
          </w:p>
        </w:tc>
        <w:tc>
          <w:tcPr>
            <w:tcW w:w="807"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宏站</w:t>
            </w:r>
          </w:p>
        </w:tc>
        <w:tc>
          <w:tcPr>
            <w:tcW w:w="807"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室分</w:t>
            </w:r>
          </w:p>
        </w:tc>
        <w:tc>
          <w:tcPr>
            <w:tcW w:w="807"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机房</w:t>
            </w:r>
          </w:p>
        </w:tc>
        <w:tc>
          <w:tcPr>
            <w:tcW w:w="2068"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站址资源储备</w:t>
            </w:r>
          </w:p>
        </w:tc>
      </w:tr>
      <w:tr>
        <w:tblPrEx>
          <w:tblCellMar>
            <w:top w:w="0" w:type="dxa"/>
            <w:left w:w="108" w:type="dxa"/>
            <w:bottom w:w="0" w:type="dxa"/>
            <w:right w:w="108" w:type="dxa"/>
          </w:tblCellMar>
        </w:tblPrEx>
        <w:trPr>
          <w:trHeight w:val="272" w:hRule="atLeast"/>
          <w:jc w:val="center"/>
        </w:trPr>
        <w:tc>
          <w:tcPr>
            <w:tcW w:w="807"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239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双桂组团</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405</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182</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16</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20</w:t>
            </w:r>
          </w:p>
        </w:tc>
        <w:tc>
          <w:tcPr>
            <w:tcW w:w="2068"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187</w:t>
            </w:r>
          </w:p>
        </w:tc>
      </w:tr>
      <w:tr>
        <w:tblPrEx>
          <w:tblCellMar>
            <w:top w:w="0" w:type="dxa"/>
            <w:left w:w="108" w:type="dxa"/>
            <w:bottom w:w="0" w:type="dxa"/>
            <w:right w:w="108" w:type="dxa"/>
          </w:tblCellMar>
        </w:tblPrEx>
        <w:trPr>
          <w:trHeight w:val="272" w:hRule="atLeast"/>
          <w:jc w:val="center"/>
        </w:trPr>
        <w:tc>
          <w:tcPr>
            <w:tcW w:w="807"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239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屏锦、回龙组团</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63</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57</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2068"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272" w:hRule="atLeast"/>
          <w:jc w:val="center"/>
        </w:trPr>
        <w:tc>
          <w:tcPr>
            <w:tcW w:w="807"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3</w:t>
            </w:r>
          </w:p>
        </w:tc>
        <w:tc>
          <w:tcPr>
            <w:tcW w:w="239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福禄、石安组团</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15</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13</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2068"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272" w:hRule="atLeast"/>
          <w:jc w:val="center"/>
        </w:trPr>
        <w:tc>
          <w:tcPr>
            <w:tcW w:w="807"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239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梁山创业园</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16</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c>
          <w:tcPr>
            <w:tcW w:w="2068"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13</w:t>
            </w:r>
          </w:p>
        </w:tc>
      </w:tr>
      <w:tr>
        <w:tblPrEx>
          <w:tblCellMar>
            <w:top w:w="0" w:type="dxa"/>
            <w:left w:w="108" w:type="dxa"/>
            <w:bottom w:w="0" w:type="dxa"/>
            <w:right w:w="108" w:type="dxa"/>
          </w:tblCellMar>
        </w:tblPrEx>
        <w:trPr>
          <w:trHeight w:val="272" w:hRule="atLeast"/>
          <w:jc w:val="center"/>
        </w:trPr>
        <w:tc>
          <w:tcPr>
            <w:tcW w:w="807"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5</w:t>
            </w:r>
          </w:p>
        </w:tc>
        <w:tc>
          <w:tcPr>
            <w:tcW w:w="239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云龙创业园</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6</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c>
          <w:tcPr>
            <w:tcW w:w="2068"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211" w:hRule="atLeast"/>
          <w:jc w:val="center"/>
        </w:trPr>
        <w:tc>
          <w:tcPr>
            <w:tcW w:w="3205"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合计</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505</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258</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24</w:t>
            </w:r>
          </w:p>
        </w:tc>
        <w:tc>
          <w:tcPr>
            <w:tcW w:w="807"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23</w:t>
            </w:r>
          </w:p>
        </w:tc>
        <w:tc>
          <w:tcPr>
            <w:tcW w:w="2068"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200</w:t>
            </w:r>
          </w:p>
        </w:tc>
      </w:tr>
    </w:tbl>
    <w:p>
      <w:pPr>
        <w:pStyle w:val="6"/>
      </w:pPr>
      <w:r>
        <w:rPr>
          <w:rFonts w:hint="eastAsia"/>
        </w:rPr>
        <w:t>梁平农业园区</w:t>
      </w:r>
    </w:p>
    <w:p>
      <w:pPr>
        <w:widowControl w:val="0"/>
        <w:snapToGrid w:val="0"/>
        <w:spacing w:line="360" w:lineRule="auto"/>
        <w:ind w:firstLine="480" w:firstLineChars="200"/>
        <w:contextualSpacing/>
        <w:rPr>
          <w:rFonts w:cs="Times New Roman"/>
          <w:kern w:val="2"/>
        </w:rPr>
      </w:pPr>
      <w:r>
        <w:rPr>
          <w:rFonts w:hint="eastAsia" w:cs="Times New Roman"/>
          <w:kern w:val="2"/>
        </w:rPr>
        <w:t>梁平农业园主要分为</w:t>
      </w:r>
      <w:r>
        <w:rPr>
          <w:rFonts w:cs="Times New Roman"/>
          <w:kern w:val="2"/>
        </w:rPr>
        <w:t>3</w:t>
      </w:r>
      <w:r>
        <w:rPr>
          <w:rFonts w:hint="eastAsia" w:cs="Times New Roman"/>
          <w:kern w:val="2"/>
        </w:rPr>
        <w:t>个园区：重庆数谷农场，万亩水稻、泥鳅产业园，柚园。园区共计规划</w:t>
      </w:r>
      <w:r>
        <w:rPr>
          <w:rFonts w:cs="Times New Roman"/>
          <w:kern w:val="2"/>
        </w:rPr>
        <w:t>14</w:t>
      </w:r>
      <w:r>
        <w:rPr>
          <w:rFonts w:hint="eastAsia" w:cs="Times New Roman"/>
          <w:kern w:val="2"/>
        </w:rPr>
        <w:t>个</w:t>
      </w:r>
      <w:r>
        <w:rPr>
          <w:rFonts w:cs="Times New Roman"/>
          <w:kern w:val="2"/>
        </w:rPr>
        <w:t>5G</w:t>
      </w:r>
      <w:r>
        <w:rPr>
          <w:rFonts w:hint="eastAsia" w:cs="Times New Roman"/>
          <w:kern w:val="2"/>
        </w:rPr>
        <w:t>通信站点，其中规划建设宏站</w:t>
      </w:r>
      <w:r>
        <w:rPr>
          <w:rFonts w:cs="Times New Roman"/>
          <w:kern w:val="2"/>
        </w:rPr>
        <w:t>13</w:t>
      </w:r>
      <w:r>
        <w:rPr>
          <w:rFonts w:hint="eastAsia" w:cs="Times New Roman"/>
          <w:kern w:val="2"/>
        </w:rPr>
        <w:t>个，机房</w:t>
      </w:r>
      <w:r>
        <w:rPr>
          <w:rFonts w:cs="Times New Roman"/>
          <w:kern w:val="2"/>
        </w:rPr>
        <w:t>1</w:t>
      </w:r>
      <w:r>
        <w:rPr>
          <w:rFonts w:hint="eastAsia" w:cs="Times New Roman"/>
          <w:kern w:val="2"/>
        </w:rPr>
        <w:t>个。</w:t>
      </w:r>
    </w:p>
    <w:p>
      <w:pPr>
        <w:widowControl w:val="0"/>
        <w:snapToGrid w:val="0"/>
        <w:spacing w:line="360" w:lineRule="auto"/>
        <w:ind w:firstLine="480" w:firstLineChars="200"/>
        <w:contextualSpacing/>
        <w:rPr>
          <w:rFonts w:cs="Times New Roman"/>
          <w:kern w:val="2"/>
        </w:rPr>
      </w:pPr>
    </w:p>
    <w:p>
      <w:pPr>
        <w:pStyle w:val="8"/>
        <w:spacing w:before="48" w:after="48"/>
      </w:pPr>
      <w:r>
        <w:rPr>
          <w:rFonts w:hint="eastAsia"/>
        </w:rPr>
        <w:t>表</w:t>
      </w:r>
      <w:r>
        <w:t xml:space="preserve">6-9 </w:t>
      </w:r>
      <w:r>
        <w:rPr>
          <w:rFonts w:hint="eastAsia"/>
        </w:rPr>
        <w:t>梁平农业园区</w:t>
      </w:r>
      <w:r>
        <w:t>5G</w:t>
      </w:r>
      <w:r>
        <w:rPr>
          <w:rFonts w:hint="eastAsia"/>
        </w:rPr>
        <w:t>基站规划建设分布情况</w:t>
      </w:r>
    </w:p>
    <w:tbl>
      <w:tblPr>
        <w:tblStyle w:val="30"/>
        <w:tblW w:w="8423" w:type="dxa"/>
        <w:jc w:val="center"/>
        <w:tblLayout w:type="autofit"/>
        <w:tblCellMar>
          <w:top w:w="0" w:type="dxa"/>
          <w:left w:w="108" w:type="dxa"/>
          <w:bottom w:w="0" w:type="dxa"/>
          <w:right w:w="108" w:type="dxa"/>
        </w:tblCellMar>
      </w:tblPr>
      <w:tblGrid>
        <w:gridCol w:w="1036"/>
        <w:gridCol w:w="4279"/>
        <w:gridCol w:w="1036"/>
        <w:gridCol w:w="1036"/>
        <w:gridCol w:w="1036"/>
      </w:tblGrid>
      <w:tr>
        <w:tblPrEx>
          <w:tblCellMar>
            <w:top w:w="0" w:type="dxa"/>
            <w:left w:w="108" w:type="dxa"/>
            <w:bottom w:w="0" w:type="dxa"/>
            <w:right w:w="108" w:type="dxa"/>
          </w:tblCellMar>
        </w:tblPrEx>
        <w:trPr>
          <w:trHeight w:val="179" w:hRule="atLeast"/>
          <w:jc w:val="center"/>
        </w:trPr>
        <w:tc>
          <w:tcPr>
            <w:tcW w:w="1036" w:type="dxa"/>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序号</w:t>
            </w:r>
          </w:p>
        </w:tc>
        <w:tc>
          <w:tcPr>
            <w:tcW w:w="4279"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规划区域</w:t>
            </w:r>
          </w:p>
        </w:tc>
        <w:tc>
          <w:tcPr>
            <w:tcW w:w="1036"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总计</w:t>
            </w:r>
          </w:p>
        </w:tc>
        <w:tc>
          <w:tcPr>
            <w:tcW w:w="1036"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宏站</w:t>
            </w:r>
          </w:p>
        </w:tc>
        <w:tc>
          <w:tcPr>
            <w:tcW w:w="1036"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机房</w:t>
            </w:r>
          </w:p>
        </w:tc>
      </w:tr>
      <w:tr>
        <w:tblPrEx>
          <w:tblCellMar>
            <w:top w:w="0" w:type="dxa"/>
            <w:left w:w="108" w:type="dxa"/>
            <w:bottom w:w="0" w:type="dxa"/>
            <w:right w:w="108" w:type="dxa"/>
          </w:tblCellMar>
        </w:tblPrEx>
        <w:trPr>
          <w:trHeight w:val="179" w:hRule="atLeast"/>
          <w:jc w:val="center"/>
        </w:trPr>
        <w:tc>
          <w:tcPr>
            <w:tcW w:w="1036"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427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重庆数谷农场</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359" w:hRule="atLeast"/>
          <w:jc w:val="center"/>
        </w:trPr>
        <w:tc>
          <w:tcPr>
            <w:tcW w:w="1036"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4279" w:type="dxa"/>
            <w:tcBorders>
              <w:top w:val="nil"/>
              <w:left w:val="nil"/>
              <w:bottom w:val="single" w:color="auto" w:sz="4" w:space="0"/>
              <w:right w:val="single" w:color="auto" w:sz="4" w:space="0"/>
            </w:tcBorders>
            <w:vAlign w:val="center"/>
          </w:tcPr>
          <w:p>
            <w:pPr>
              <w:jc w:val="center"/>
              <w:rPr>
                <w:rFonts w:ascii="等线" w:hAnsi="等线" w:eastAsia="等线"/>
                <w:color w:val="000000"/>
                <w:sz w:val="22"/>
                <w:szCs w:val="22"/>
              </w:rPr>
            </w:pPr>
            <w:r>
              <w:rPr>
                <w:rFonts w:hint="eastAsia" w:ascii="等线" w:hAnsi="等线" w:eastAsia="等线"/>
                <w:color w:val="000000"/>
                <w:sz w:val="22"/>
                <w:szCs w:val="22"/>
              </w:rPr>
              <w:t>万亩水稻、泥鳅产业园</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3</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r>
      <w:tr>
        <w:tblPrEx>
          <w:tblCellMar>
            <w:top w:w="0" w:type="dxa"/>
            <w:left w:w="108" w:type="dxa"/>
            <w:bottom w:w="0" w:type="dxa"/>
            <w:right w:w="108" w:type="dxa"/>
          </w:tblCellMar>
        </w:tblPrEx>
        <w:trPr>
          <w:trHeight w:val="179" w:hRule="atLeast"/>
          <w:jc w:val="center"/>
        </w:trPr>
        <w:tc>
          <w:tcPr>
            <w:tcW w:w="1036"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3</w:t>
            </w:r>
          </w:p>
        </w:tc>
        <w:tc>
          <w:tcPr>
            <w:tcW w:w="427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柚园</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6</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6</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231" w:hRule="atLeast"/>
          <w:jc w:val="center"/>
        </w:trPr>
        <w:tc>
          <w:tcPr>
            <w:tcW w:w="5315"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合计</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14</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13</w:t>
            </w:r>
          </w:p>
        </w:tc>
        <w:tc>
          <w:tcPr>
            <w:tcW w:w="1036"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r>
    </w:tbl>
    <w:p>
      <w:pPr>
        <w:widowControl w:val="0"/>
        <w:spacing w:line="360" w:lineRule="auto"/>
        <w:jc w:val="both"/>
        <w:rPr>
          <w:rFonts w:ascii="Times New Roman" w:hAnsi="Times New Roman" w:cs="Times New Roman"/>
          <w:kern w:val="2"/>
        </w:rPr>
      </w:pPr>
    </w:p>
    <w:p>
      <w:pPr>
        <w:pStyle w:val="6"/>
      </w:pPr>
      <w:r>
        <w:rPr>
          <w:rFonts w:hint="eastAsia"/>
        </w:rPr>
        <w:t>梁平商贸区</w:t>
      </w:r>
    </w:p>
    <w:p>
      <w:pPr>
        <w:widowControl w:val="0"/>
        <w:spacing w:line="360" w:lineRule="auto"/>
        <w:ind w:firstLine="480" w:firstLineChars="200"/>
        <w:jc w:val="both"/>
        <w:rPr>
          <w:rFonts w:cs="Times New Roman"/>
          <w:kern w:val="2"/>
        </w:rPr>
      </w:pPr>
      <w:r>
        <w:rPr>
          <w:rFonts w:hint="eastAsia" w:cs="Times New Roman"/>
          <w:kern w:val="2"/>
        </w:rPr>
        <w:t>梁平商贸区主要集中在粮食物流园以及四个边贸重镇（虎城镇、云龙镇、袁驿镇、新盛镇）区域内，共计规划</w:t>
      </w:r>
      <w:r>
        <w:rPr>
          <w:rFonts w:cs="Times New Roman"/>
          <w:kern w:val="2"/>
        </w:rPr>
        <w:t>149</w:t>
      </w:r>
      <w:r>
        <w:rPr>
          <w:rFonts w:hint="eastAsia" w:cs="Times New Roman"/>
          <w:kern w:val="2"/>
        </w:rPr>
        <w:t>个</w:t>
      </w:r>
      <w:r>
        <w:rPr>
          <w:rFonts w:cs="Times New Roman"/>
          <w:kern w:val="2"/>
        </w:rPr>
        <w:t>5G</w:t>
      </w:r>
      <w:r>
        <w:rPr>
          <w:rFonts w:hint="eastAsia" w:cs="Times New Roman"/>
          <w:kern w:val="2"/>
        </w:rPr>
        <w:t>通信站点，其中规划建设宏站</w:t>
      </w:r>
      <w:r>
        <w:rPr>
          <w:rFonts w:cs="Times New Roman"/>
          <w:kern w:val="2"/>
        </w:rPr>
        <w:t>126</w:t>
      </w:r>
      <w:r>
        <w:rPr>
          <w:rFonts w:hint="eastAsia" w:cs="Times New Roman"/>
          <w:kern w:val="2"/>
        </w:rPr>
        <w:t>个，室内分布系统</w:t>
      </w:r>
      <w:r>
        <w:rPr>
          <w:rFonts w:cs="Times New Roman"/>
          <w:kern w:val="2"/>
        </w:rPr>
        <w:t>2</w:t>
      </w:r>
      <w:r>
        <w:rPr>
          <w:rFonts w:hint="eastAsia" w:cs="Times New Roman"/>
          <w:kern w:val="2"/>
        </w:rPr>
        <w:t>个，机房</w:t>
      </w:r>
      <w:r>
        <w:rPr>
          <w:rFonts w:cs="Times New Roman"/>
          <w:kern w:val="2"/>
        </w:rPr>
        <w:t>4</w:t>
      </w:r>
      <w:r>
        <w:rPr>
          <w:rFonts w:hint="eastAsia" w:cs="Times New Roman"/>
          <w:kern w:val="2"/>
        </w:rPr>
        <w:t>个，站址资源储备</w:t>
      </w:r>
      <w:r>
        <w:rPr>
          <w:rFonts w:cs="Times New Roman"/>
          <w:kern w:val="2"/>
        </w:rPr>
        <w:t>17</w:t>
      </w:r>
      <w:r>
        <w:rPr>
          <w:rFonts w:hint="eastAsia" w:cs="Times New Roman"/>
          <w:kern w:val="2"/>
        </w:rPr>
        <w:t>个。</w:t>
      </w:r>
    </w:p>
    <w:p>
      <w:pPr>
        <w:pStyle w:val="8"/>
        <w:spacing w:before="48" w:after="48"/>
      </w:pPr>
      <w:r>
        <w:rPr>
          <w:rFonts w:hint="eastAsia"/>
        </w:rPr>
        <w:t>表</w:t>
      </w:r>
      <w:r>
        <w:t xml:space="preserve">6-10 </w:t>
      </w:r>
      <w:r>
        <w:rPr>
          <w:rFonts w:hint="eastAsia"/>
        </w:rPr>
        <w:t>梁平商贸区</w:t>
      </w:r>
      <w:r>
        <w:t>5G</w:t>
      </w:r>
      <w:r>
        <w:rPr>
          <w:rFonts w:hint="eastAsia"/>
        </w:rPr>
        <w:t>基站规划建设分布情况</w:t>
      </w:r>
    </w:p>
    <w:tbl>
      <w:tblPr>
        <w:tblStyle w:val="30"/>
        <w:tblW w:w="8603" w:type="dxa"/>
        <w:jc w:val="center"/>
        <w:tblLayout w:type="autofit"/>
        <w:tblCellMar>
          <w:top w:w="0" w:type="dxa"/>
          <w:left w:w="108" w:type="dxa"/>
          <w:bottom w:w="0" w:type="dxa"/>
          <w:right w:w="108" w:type="dxa"/>
        </w:tblCellMar>
      </w:tblPr>
      <w:tblGrid>
        <w:gridCol w:w="885"/>
        <w:gridCol w:w="1909"/>
        <w:gridCol w:w="885"/>
        <w:gridCol w:w="885"/>
        <w:gridCol w:w="885"/>
        <w:gridCol w:w="885"/>
        <w:gridCol w:w="2269"/>
      </w:tblGrid>
      <w:tr>
        <w:tblPrEx>
          <w:tblCellMar>
            <w:top w:w="0" w:type="dxa"/>
            <w:left w:w="108" w:type="dxa"/>
            <w:bottom w:w="0" w:type="dxa"/>
            <w:right w:w="108" w:type="dxa"/>
          </w:tblCellMar>
        </w:tblPrEx>
        <w:trPr>
          <w:trHeight w:val="149" w:hRule="atLeast"/>
          <w:jc w:val="center"/>
        </w:trPr>
        <w:tc>
          <w:tcPr>
            <w:tcW w:w="885" w:type="dxa"/>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color w:val="000000"/>
              </w:rPr>
            </w:pPr>
            <w:bookmarkStart w:id="198" w:name="_Hlk55997516"/>
            <w:r>
              <w:rPr>
                <w:rFonts w:hint="eastAsia" w:ascii="等线" w:hAnsi="等线" w:eastAsia="等线"/>
                <w:color w:val="000000"/>
              </w:rPr>
              <w:t>序号</w:t>
            </w:r>
          </w:p>
        </w:tc>
        <w:tc>
          <w:tcPr>
            <w:tcW w:w="1909"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rPr>
            </w:pPr>
            <w:r>
              <w:rPr>
                <w:rFonts w:hint="eastAsia" w:ascii="等线" w:hAnsi="等线" w:eastAsia="等线"/>
                <w:color w:val="000000"/>
              </w:rPr>
              <w:t>规划区域</w:t>
            </w:r>
          </w:p>
        </w:tc>
        <w:tc>
          <w:tcPr>
            <w:tcW w:w="885"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rPr>
            </w:pPr>
            <w:r>
              <w:rPr>
                <w:rFonts w:hint="eastAsia" w:ascii="等线" w:hAnsi="等线" w:eastAsia="等线"/>
                <w:color w:val="000000"/>
              </w:rPr>
              <w:t>总计</w:t>
            </w:r>
          </w:p>
        </w:tc>
        <w:tc>
          <w:tcPr>
            <w:tcW w:w="885"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rPr>
            </w:pPr>
            <w:r>
              <w:rPr>
                <w:rFonts w:hint="eastAsia" w:ascii="等线" w:hAnsi="等线" w:eastAsia="等线"/>
                <w:color w:val="000000"/>
              </w:rPr>
              <w:t>宏站</w:t>
            </w:r>
          </w:p>
        </w:tc>
        <w:tc>
          <w:tcPr>
            <w:tcW w:w="885"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rPr>
            </w:pPr>
            <w:r>
              <w:rPr>
                <w:rFonts w:hint="eastAsia" w:ascii="等线" w:hAnsi="等线" w:eastAsia="等线"/>
                <w:color w:val="000000"/>
              </w:rPr>
              <w:t>室分</w:t>
            </w:r>
          </w:p>
        </w:tc>
        <w:tc>
          <w:tcPr>
            <w:tcW w:w="885"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rPr>
            </w:pPr>
            <w:r>
              <w:rPr>
                <w:rFonts w:hint="eastAsia" w:ascii="等线" w:hAnsi="等线" w:eastAsia="等线"/>
                <w:color w:val="000000"/>
              </w:rPr>
              <w:t>机房</w:t>
            </w:r>
          </w:p>
        </w:tc>
        <w:tc>
          <w:tcPr>
            <w:tcW w:w="2269" w:type="dxa"/>
            <w:tcBorders>
              <w:top w:val="single" w:color="auto" w:sz="4" w:space="0"/>
              <w:left w:val="nil"/>
              <w:bottom w:val="single" w:color="auto" w:sz="4" w:space="0"/>
              <w:right w:val="single" w:color="auto" w:sz="4" w:space="0"/>
            </w:tcBorders>
            <w:noWrap/>
            <w:vAlign w:val="center"/>
          </w:tcPr>
          <w:p>
            <w:pPr>
              <w:jc w:val="center"/>
              <w:rPr>
                <w:rFonts w:ascii="等线" w:hAnsi="等线" w:eastAsia="等线"/>
                <w:color w:val="000000"/>
              </w:rPr>
            </w:pPr>
            <w:r>
              <w:rPr>
                <w:rFonts w:hint="eastAsia" w:ascii="等线" w:hAnsi="等线" w:eastAsia="等线"/>
                <w:color w:val="000000"/>
              </w:rPr>
              <w:t>站址资源储备</w:t>
            </w:r>
          </w:p>
        </w:tc>
      </w:tr>
      <w:tr>
        <w:tblPrEx>
          <w:tblCellMar>
            <w:top w:w="0" w:type="dxa"/>
            <w:left w:w="108" w:type="dxa"/>
            <w:bottom w:w="0" w:type="dxa"/>
            <w:right w:w="108" w:type="dxa"/>
          </w:tblCellMar>
        </w:tblPrEx>
        <w:trPr>
          <w:trHeight w:val="149" w:hRule="atLeast"/>
          <w:jc w:val="center"/>
        </w:trPr>
        <w:tc>
          <w:tcPr>
            <w:tcW w:w="885"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1</w:t>
            </w:r>
          </w:p>
        </w:tc>
        <w:tc>
          <w:tcPr>
            <w:tcW w:w="1909" w:type="dxa"/>
            <w:tcBorders>
              <w:top w:val="nil"/>
              <w:left w:val="nil"/>
              <w:bottom w:val="single" w:color="auto" w:sz="4" w:space="0"/>
              <w:right w:val="single" w:color="auto" w:sz="4" w:space="0"/>
            </w:tcBorders>
            <w:noWrap/>
            <w:vAlign w:val="center"/>
          </w:tcPr>
          <w:p>
            <w:pPr>
              <w:jc w:val="center"/>
              <w:rPr>
                <w:rFonts w:ascii="等线" w:hAnsi="等线" w:eastAsia="等线"/>
                <w:color w:val="000000"/>
              </w:rPr>
            </w:pPr>
            <w:r>
              <w:rPr>
                <w:rFonts w:hint="eastAsia" w:ascii="等线" w:hAnsi="等线" w:eastAsia="等线"/>
                <w:color w:val="000000"/>
              </w:rPr>
              <w:t>粮食物流园</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23</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6</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0</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0</w:t>
            </w:r>
          </w:p>
        </w:tc>
        <w:tc>
          <w:tcPr>
            <w:tcW w:w="2269" w:type="dxa"/>
            <w:tcBorders>
              <w:top w:val="nil"/>
              <w:left w:val="nil"/>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17</w:t>
            </w:r>
          </w:p>
        </w:tc>
      </w:tr>
      <w:tr>
        <w:tblPrEx>
          <w:tblCellMar>
            <w:top w:w="0" w:type="dxa"/>
            <w:left w:w="108" w:type="dxa"/>
            <w:bottom w:w="0" w:type="dxa"/>
            <w:right w:w="108" w:type="dxa"/>
          </w:tblCellMar>
        </w:tblPrEx>
        <w:trPr>
          <w:trHeight w:val="149" w:hRule="atLeast"/>
          <w:jc w:val="center"/>
        </w:trPr>
        <w:tc>
          <w:tcPr>
            <w:tcW w:w="885"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190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梁平虎城镇</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29</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28</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226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149" w:hRule="atLeast"/>
          <w:jc w:val="center"/>
        </w:trPr>
        <w:tc>
          <w:tcPr>
            <w:tcW w:w="885"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3</w:t>
            </w:r>
          </w:p>
        </w:tc>
        <w:tc>
          <w:tcPr>
            <w:tcW w:w="190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梁平云龙镇</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47</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44</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226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192" w:hRule="atLeast"/>
          <w:jc w:val="center"/>
        </w:trPr>
        <w:tc>
          <w:tcPr>
            <w:tcW w:w="885"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190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梁平袁驿镇</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31</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30</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226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192" w:hRule="atLeast"/>
          <w:jc w:val="center"/>
        </w:trPr>
        <w:tc>
          <w:tcPr>
            <w:tcW w:w="885" w:type="dxa"/>
            <w:tcBorders>
              <w:top w:val="nil"/>
              <w:left w:val="single" w:color="auto" w:sz="4" w:space="0"/>
              <w:bottom w:val="single" w:color="auto" w:sz="4" w:space="0"/>
              <w:right w:val="single" w:color="auto" w:sz="4" w:space="0"/>
            </w:tcBorders>
            <w:noWrap/>
            <w:vAlign w:val="center"/>
          </w:tcPr>
          <w:p>
            <w:pPr>
              <w:jc w:val="center"/>
              <w:rPr>
                <w:rFonts w:ascii="等线" w:hAnsi="等线" w:eastAsia="等线"/>
                <w:color w:val="000000"/>
              </w:rPr>
            </w:pPr>
            <w:r>
              <w:rPr>
                <w:rFonts w:ascii="等线" w:hAnsi="等线" w:eastAsia="等线"/>
                <w:color w:val="000000"/>
              </w:rPr>
              <w:t>5</w:t>
            </w:r>
          </w:p>
        </w:tc>
        <w:tc>
          <w:tcPr>
            <w:tcW w:w="190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梁平新盛镇</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19</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18</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w:t>
            </w:r>
          </w:p>
        </w:tc>
        <w:tc>
          <w:tcPr>
            <w:tcW w:w="226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0</w:t>
            </w:r>
          </w:p>
        </w:tc>
      </w:tr>
      <w:tr>
        <w:tblPrEx>
          <w:tblCellMar>
            <w:top w:w="0" w:type="dxa"/>
            <w:left w:w="108" w:type="dxa"/>
            <w:bottom w:w="0" w:type="dxa"/>
            <w:right w:w="108" w:type="dxa"/>
          </w:tblCellMar>
        </w:tblPrEx>
        <w:trPr>
          <w:trHeight w:val="149" w:hRule="atLeast"/>
          <w:jc w:val="center"/>
        </w:trPr>
        <w:tc>
          <w:tcPr>
            <w:tcW w:w="279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合计</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149</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126</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2</w:t>
            </w:r>
          </w:p>
        </w:tc>
        <w:tc>
          <w:tcPr>
            <w:tcW w:w="885"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4</w:t>
            </w:r>
          </w:p>
        </w:tc>
        <w:tc>
          <w:tcPr>
            <w:tcW w:w="2269" w:type="dxa"/>
            <w:tcBorders>
              <w:top w:val="nil"/>
              <w:left w:val="nil"/>
              <w:bottom w:val="single" w:color="auto" w:sz="4" w:space="0"/>
              <w:right w:val="single" w:color="auto" w:sz="4" w:space="0"/>
            </w:tcBorders>
            <w:noWrap/>
            <w:vAlign w:val="center"/>
          </w:tcPr>
          <w:p>
            <w:pPr>
              <w:jc w:val="center"/>
              <w:rPr>
                <w:rFonts w:ascii="等线" w:hAnsi="等线" w:eastAsia="等线"/>
                <w:color w:val="000000"/>
                <w:sz w:val="22"/>
                <w:szCs w:val="22"/>
              </w:rPr>
            </w:pPr>
            <w:r>
              <w:rPr>
                <w:rFonts w:ascii="等线" w:hAnsi="等线" w:eastAsia="等线"/>
                <w:color w:val="000000"/>
                <w:sz w:val="22"/>
                <w:szCs w:val="22"/>
              </w:rPr>
              <w:t>17</w:t>
            </w:r>
          </w:p>
        </w:tc>
      </w:tr>
      <w:bookmarkEnd w:id="198"/>
    </w:tbl>
    <w:p>
      <w:pPr>
        <w:widowControl w:val="0"/>
        <w:spacing w:line="360" w:lineRule="auto"/>
        <w:ind w:firstLine="480" w:firstLineChars="200"/>
        <w:jc w:val="both"/>
        <w:rPr>
          <w:rFonts w:ascii="Times New Roman" w:hAnsi="Times New Roman" w:cs="Times New Roman"/>
          <w:kern w:val="2"/>
        </w:rPr>
      </w:pPr>
    </w:p>
    <w:p>
      <w:pPr>
        <w:pStyle w:val="6"/>
      </w:pPr>
      <w:r>
        <w:rPr>
          <w:rFonts w:hint="eastAsia"/>
        </w:rPr>
        <w:t>梁平风景区</w:t>
      </w:r>
    </w:p>
    <w:p>
      <w:pPr>
        <w:widowControl w:val="0"/>
        <w:snapToGrid w:val="0"/>
        <w:spacing w:line="360" w:lineRule="auto"/>
        <w:ind w:firstLine="480" w:firstLineChars="200"/>
        <w:contextualSpacing/>
        <w:rPr>
          <w:rFonts w:ascii="等线" w:hAnsi="等线" w:eastAsia="等线" w:cs="Times New Roman"/>
          <w:kern w:val="2"/>
        </w:rPr>
      </w:pPr>
      <w:r>
        <w:rPr>
          <w:rFonts w:hint="eastAsia" w:cs="Times New Roman"/>
          <w:kern w:val="2"/>
        </w:rPr>
        <w:t>梁平风景区主要集中在百里竹海景区，百里竹海景区位于中国重庆市梁平区西北部，地处历史上从涪陵经梁平前往长安的荔枝古道”上，距离梁平主城区约</w:t>
      </w:r>
      <w:r>
        <w:rPr>
          <w:rFonts w:cs="Times New Roman"/>
          <w:kern w:val="2"/>
        </w:rPr>
        <w:t>34.8</w:t>
      </w:r>
      <w:r>
        <w:rPr>
          <w:rFonts w:hint="eastAsia" w:cs="Times New Roman"/>
          <w:kern w:val="2"/>
        </w:rPr>
        <w:t>千米；境域跨屏锦、竹山、龙门、新盛、七星、虎城、袁驿等</w:t>
      </w:r>
      <w:r>
        <w:rPr>
          <w:rFonts w:cs="Times New Roman"/>
          <w:kern w:val="2"/>
        </w:rPr>
        <w:t>9</w:t>
      </w:r>
      <w:r>
        <w:rPr>
          <w:rFonts w:hint="eastAsia" w:cs="Times New Roman"/>
          <w:kern w:val="2"/>
        </w:rPr>
        <w:t>个乡镇及</w:t>
      </w:r>
      <w:r>
        <w:rPr>
          <w:rFonts w:cs="Times New Roman"/>
          <w:kern w:val="2"/>
        </w:rPr>
        <w:t>1</w:t>
      </w:r>
      <w:r>
        <w:rPr>
          <w:rFonts w:hint="eastAsia" w:cs="Times New Roman"/>
          <w:kern w:val="2"/>
        </w:rPr>
        <w:t>个竹海国有林场，西起屏锦镇明月湖“群山锁钥”，东止新盛镇银杏村，主要景区位于竹山镇，东西十里之阔，南北有百里之遥，距离梁平主城区约</w:t>
      </w:r>
      <w:r>
        <w:rPr>
          <w:rFonts w:cs="Times New Roman"/>
          <w:kern w:val="2"/>
        </w:rPr>
        <w:t>34.8</w:t>
      </w:r>
      <w:r>
        <w:rPr>
          <w:rFonts w:hint="eastAsia" w:cs="Times New Roman"/>
          <w:kern w:val="2"/>
        </w:rPr>
        <w:t>公里，总面积</w:t>
      </w:r>
      <w:r>
        <w:rPr>
          <w:rFonts w:cs="Times New Roman"/>
          <w:kern w:val="2"/>
        </w:rPr>
        <w:t>119</w:t>
      </w:r>
      <w:r>
        <w:rPr>
          <w:rFonts w:hint="eastAsia" w:cs="Times New Roman"/>
          <w:kern w:val="2"/>
        </w:rPr>
        <w:t>平方千米。规划覆盖范围包括明月湖、百竹园、观音洞、天星塘、竹丰湖、小峨眉山、猫儿寨革命老区、狐狸嘴、茶花岭等</w:t>
      </w:r>
      <w:r>
        <w:rPr>
          <w:rFonts w:cs="Times New Roman"/>
          <w:kern w:val="2"/>
        </w:rPr>
        <w:t>50</w:t>
      </w:r>
      <w:r>
        <w:rPr>
          <w:rFonts w:hint="eastAsia" w:cs="Times New Roman"/>
          <w:kern w:val="2"/>
        </w:rPr>
        <w:t>余个景点，共计规划</w:t>
      </w:r>
      <w:r>
        <w:rPr>
          <w:rFonts w:cs="Times New Roman"/>
          <w:kern w:val="2"/>
        </w:rPr>
        <w:t>54</w:t>
      </w:r>
      <w:r>
        <w:rPr>
          <w:rFonts w:hint="eastAsia" w:cs="Times New Roman"/>
          <w:kern w:val="2"/>
        </w:rPr>
        <w:t>个</w:t>
      </w:r>
      <w:r>
        <w:rPr>
          <w:rFonts w:cs="Times New Roman"/>
          <w:kern w:val="2"/>
        </w:rPr>
        <w:t>5G</w:t>
      </w:r>
      <w:r>
        <w:rPr>
          <w:rFonts w:hint="eastAsia" w:cs="Times New Roman"/>
          <w:kern w:val="2"/>
        </w:rPr>
        <w:t>通信站点，其中包括</w:t>
      </w:r>
      <w:r>
        <w:rPr>
          <w:rFonts w:cs="Times New Roman"/>
          <w:kern w:val="2"/>
        </w:rPr>
        <w:t>53</w:t>
      </w:r>
      <w:r>
        <w:rPr>
          <w:rFonts w:hint="eastAsia" w:cs="Times New Roman"/>
          <w:kern w:val="2"/>
        </w:rPr>
        <w:t>个宏站，</w:t>
      </w:r>
      <w:r>
        <w:rPr>
          <w:rFonts w:cs="Times New Roman"/>
          <w:kern w:val="2"/>
        </w:rPr>
        <w:t>1</w:t>
      </w:r>
      <w:r>
        <w:rPr>
          <w:rFonts w:hint="eastAsia" w:cs="Times New Roman"/>
          <w:kern w:val="2"/>
        </w:rPr>
        <w:t>个综合接入机房</w:t>
      </w:r>
      <w:r>
        <w:rPr>
          <w:rFonts w:hint="eastAsia" w:ascii="等线" w:hAnsi="等线" w:eastAsia="等线" w:cs="Times New Roman"/>
          <w:kern w:val="2"/>
        </w:rPr>
        <w:t>。</w:t>
      </w:r>
    </w:p>
    <w:p>
      <w:pPr>
        <w:widowControl w:val="0"/>
        <w:spacing w:line="360" w:lineRule="auto"/>
        <w:ind w:firstLine="480" w:firstLineChars="200"/>
        <w:jc w:val="center"/>
      </w:pPr>
      <w:r>
        <w:pict>
          <v:shape id="_x0000_i1104" o:spt="75" type="#_x0000_t75" style="height:197.25pt;width:399pt;" filled="f" o:preferrelative="t" stroked="f" coordsize="21600,21600">
            <v:path/>
            <v:fill on="f" focussize="0,0"/>
            <v:stroke on="f" joinstyle="miter"/>
            <v:imagedata r:id="rId91" o:title=""/>
            <o:lock v:ext="edit" aspectratio="t"/>
            <w10:wrap type="none"/>
            <w10:anchorlock/>
          </v:shape>
        </w:pict>
      </w:r>
    </w:p>
    <w:p>
      <w:pPr>
        <w:pStyle w:val="8"/>
        <w:spacing w:before="48" w:after="48"/>
      </w:pPr>
      <w:r>
        <w:rPr>
          <w:rFonts w:hint="eastAsia"/>
        </w:rPr>
        <w:t>图</w:t>
      </w:r>
      <w:r>
        <w:t xml:space="preserve">6-9 </w:t>
      </w:r>
      <w:r>
        <w:rPr>
          <w:rFonts w:hint="eastAsia"/>
        </w:rPr>
        <w:t>梁平风景区</w:t>
      </w:r>
      <w:r>
        <w:t>5G</w:t>
      </w:r>
      <w:r>
        <w:rPr>
          <w:rFonts w:hint="eastAsia"/>
        </w:rPr>
        <w:t>站点规划示意图</w:t>
      </w:r>
    </w:p>
    <w:p>
      <w:pPr>
        <w:widowControl w:val="0"/>
        <w:spacing w:line="360" w:lineRule="auto"/>
        <w:rPr>
          <w:rFonts w:ascii="Times New Roman" w:hAnsi="Times New Roman" w:cs="Times New Roman"/>
          <w:kern w:val="2"/>
        </w:rPr>
      </w:pPr>
    </w:p>
    <w:p>
      <w:pPr>
        <w:widowControl w:val="0"/>
        <w:spacing w:line="360" w:lineRule="auto"/>
        <w:ind w:firstLine="480" w:firstLineChars="200"/>
        <w:jc w:val="both"/>
        <w:rPr>
          <w:rFonts w:ascii="Times New Roman" w:hAnsi="Times New Roman" w:cs="Times New Roman"/>
          <w:kern w:val="2"/>
        </w:rPr>
      </w:pPr>
      <w:r>
        <w:rPr>
          <w:rFonts w:hint="eastAsia" w:ascii="Times New Roman" w:hAnsi="Times New Roman" w:cs="Times New Roman"/>
          <w:kern w:val="2"/>
        </w:rPr>
        <w:t>根据无线仿真软件统计，建设完成后，梁平区重要场景盖达到</w:t>
      </w:r>
      <w:r>
        <w:rPr>
          <w:rFonts w:ascii="Times New Roman" w:hAnsi="Times New Roman" w:cs="Times New Roman"/>
          <w:kern w:val="2"/>
        </w:rPr>
        <w:t>98.4%</w:t>
      </w:r>
      <w:r>
        <w:rPr>
          <w:rFonts w:hint="eastAsia" w:ascii="Times New Roman" w:hAnsi="Times New Roman" w:cs="Times New Roman"/>
          <w:kern w:val="2"/>
        </w:rPr>
        <w:t>，能够满足</w:t>
      </w:r>
      <w:r>
        <w:rPr>
          <w:rFonts w:ascii="Times New Roman" w:hAnsi="Times New Roman" w:cs="Times New Roman"/>
          <w:kern w:val="2"/>
        </w:rPr>
        <w:t>5G</w:t>
      </w:r>
      <w:r>
        <w:rPr>
          <w:rFonts w:hint="eastAsia" w:ascii="Times New Roman" w:hAnsi="Times New Roman" w:cs="Times New Roman"/>
          <w:kern w:val="2"/>
        </w:rPr>
        <w:t>覆盖。室外基站建议采用智能灯杆，与视频监控、</w:t>
      </w:r>
      <w:r>
        <w:rPr>
          <w:rFonts w:ascii="Times New Roman" w:hAnsi="Times New Roman" w:cs="Times New Roman"/>
          <w:kern w:val="2"/>
        </w:rPr>
        <w:t>wifi</w:t>
      </w:r>
      <w:r>
        <w:rPr>
          <w:rFonts w:hint="eastAsia" w:ascii="Times New Roman" w:hAnsi="Times New Roman" w:cs="Times New Roman"/>
          <w:kern w:val="2"/>
        </w:rPr>
        <w:t>、气象监控、公告电子屏、校园广播、</w:t>
      </w:r>
      <w:r>
        <w:rPr>
          <w:rFonts w:ascii="Times New Roman" w:hAnsi="Times New Roman" w:cs="Times New Roman"/>
          <w:kern w:val="2"/>
        </w:rPr>
        <w:t>5G</w:t>
      </w:r>
      <w:r>
        <w:rPr>
          <w:rFonts w:hint="eastAsia" w:ascii="Times New Roman" w:hAnsi="Times New Roman" w:cs="Times New Roman"/>
          <w:kern w:val="2"/>
        </w:rPr>
        <w:t>集成一杆，融入环境，共同打造智慧梁平。</w:t>
      </w:r>
      <w:r>
        <w:rPr>
          <w:rFonts w:ascii="Times New Roman" w:hAnsi="Times New Roman" w:cs="Times New Roman"/>
          <w:kern w:val="2"/>
        </w:rPr>
        <w:br w:type="page"/>
      </w:r>
    </w:p>
    <w:p>
      <w:pPr>
        <w:pStyle w:val="2"/>
      </w:pPr>
      <w:bookmarkStart w:id="199" w:name="_Toc56092792"/>
      <w:r>
        <w:rPr>
          <w:rFonts w:hint="eastAsia"/>
        </w:rPr>
        <w:t>环境保护</w:t>
      </w:r>
      <w:bookmarkEnd w:id="199"/>
    </w:p>
    <w:p>
      <w:pPr>
        <w:pStyle w:val="3"/>
        <w:numPr>
          <w:ilvl w:val="0"/>
          <w:numId w:val="52"/>
        </w:numPr>
      </w:pPr>
      <w:bookmarkStart w:id="200" w:name="_Toc462760566"/>
      <w:bookmarkStart w:id="201" w:name="_Toc56092793"/>
      <w:bookmarkStart w:id="202" w:name="_Toc409095017"/>
      <w:r>
        <w:rPr>
          <w:rFonts w:hint="eastAsia"/>
        </w:rPr>
        <w:t>电磁辐射</w:t>
      </w:r>
      <w:bookmarkEnd w:id="200"/>
      <w:bookmarkEnd w:id="201"/>
      <w:bookmarkEnd w:id="202"/>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通信基站是通过电磁波与终端进行通信的。根据中华人民共和国国家标准《电磁辐射防护规定》（</w:t>
      </w:r>
      <w:r>
        <w:rPr>
          <w:rFonts w:ascii="Times New Roman" w:hAnsi="Times New Roman" w:cs="Times New Roman"/>
          <w:kern w:val="2"/>
        </w:rPr>
        <w:t>GB 8702-2014</w:t>
      </w:r>
      <w:r>
        <w:rPr>
          <w:rFonts w:hint="eastAsia" w:ascii="Times New Roman" w:hAnsi="Times New Roman" w:cs="Times New Roman"/>
          <w:kern w:val="2"/>
        </w:rPr>
        <w:t>），常用通信频段（</w:t>
      </w:r>
      <w:r>
        <w:rPr>
          <w:rFonts w:ascii="Times New Roman" w:hAnsi="Times New Roman" w:cs="Times New Roman"/>
          <w:kern w:val="2"/>
        </w:rPr>
        <w:t>30MHz-3000MHz</w:t>
      </w:r>
      <w:r>
        <w:rPr>
          <w:rFonts w:hint="eastAsia" w:ascii="Times New Roman" w:hAnsi="Times New Roman" w:cs="Times New Roman"/>
          <w:kern w:val="2"/>
        </w:rPr>
        <w:t>）功率密度应小于</w:t>
      </w:r>
      <w:r>
        <w:rPr>
          <w:rFonts w:ascii="Times New Roman" w:hAnsi="Times New Roman" w:cs="Times New Roman"/>
          <w:kern w:val="2"/>
        </w:rPr>
        <w:t>40</w:t>
      </w:r>
      <w:r>
        <w:rPr>
          <w:rFonts w:hint="eastAsia" w:ascii="Times New Roman" w:hAnsi="Times New Roman" w:cs="Times New Roman"/>
          <w:kern w:val="2"/>
        </w:rPr>
        <w:t>微瓦</w:t>
      </w:r>
      <w:r>
        <w:rPr>
          <w:rFonts w:ascii="Times New Roman" w:hAnsi="Times New Roman" w:cs="Times New Roman"/>
          <w:kern w:val="2"/>
        </w:rPr>
        <w:t>/</w:t>
      </w:r>
      <w:r>
        <w:rPr>
          <w:rFonts w:hint="eastAsia" w:ascii="Times New Roman" w:hAnsi="Times New Roman" w:cs="Times New Roman"/>
          <w:kern w:val="2"/>
        </w:rPr>
        <w:t>平方厘米。根据《辐射环境保护管理导则</w:t>
      </w:r>
      <w:r>
        <w:rPr>
          <w:rFonts w:ascii="Times New Roman" w:hAnsi="Times New Roman" w:cs="Times New Roman"/>
          <w:kern w:val="2"/>
        </w:rPr>
        <w:t xml:space="preserve"> </w:t>
      </w:r>
      <w:r>
        <w:rPr>
          <w:rFonts w:hint="eastAsia" w:ascii="Times New Roman" w:hAnsi="Times New Roman" w:cs="Times New Roman"/>
          <w:kern w:val="2"/>
        </w:rPr>
        <w:t>电磁辐射环境影响评价方法与标准》中的规定，通信基站建设时执行的都是国标五分之一的标准，即小于</w:t>
      </w:r>
      <w:r>
        <w:rPr>
          <w:rFonts w:ascii="Times New Roman" w:hAnsi="Times New Roman" w:cs="Times New Roman"/>
          <w:kern w:val="2"/>
        </w:rPr>
        <w:t>8</w:t>
      </w:r>
      <w:r>
        <w:rPr>
          <w:rFonts w:hint="eastAsia" w:ascii="Times New Roman" w:hAnsi="Times New Roman" w:cs="Times New Roman"/>
          <w:kern w:val="2"/>
        </w:rPr>
        <w:t>微瓦</w:t>
      </w:r>
      <w:r>
        <w:rPr>
          <w:rFonts w:ascii="Times New Roman" w:hAnsi="Times New Roman" w:cs="Times New Roman"/>
          <w:kern w:val="2"/>
        </w:rPr>
        <w:t>/</w:t>
      </w:r>
      <w:r>
        <w:rPr>
          <w:rFonts w:hint="eastAsia" w:ascii="Times New Roman" w:hAnsi="Times New Roman" w:cs="Times New Roman"/>
          <w:kern w:val="2"/>
        </w:rPr>
        <w:t>平方厘米。通信基站设置应符合上述限值并满足《通信工程建设环境保护技术暂行规定》的控制要求。</w:t>
      </w:r>
    </w:p>
    <w:p>
      <w:pPr>
        <w:pStyle w:val="3"/>
      </w:pPr>
      <w:bookmarkStart w:id="203" w:name="_Toc462760567"/>
      <w:bookmarkStart w:id="204" w:name="_Toc56092794"/>
      <w:r>
        <w:rPr>
          <w:rFonts w:hint="eastAsia"/>
        </w:rPr>
        <w:t>生态保护</w:t>
      </w:r>
      <w:bookmarkEnd w:id="203"/>
      <w:bookmarkEnd w:id="204"/>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通信局（站）选址和通信线路路由选取应尽量减少占用耕地、林地和草地。</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在风景区、景区公路旁、繁华市区以及主要交通干道两侧兴建的通信设施，应在形态、线形、色彩等要素上与环境相协调，不得严重影响景观。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通信局（站）使用的柴油发电机、油汽轮机的废气排放应符合环保要求。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通信工程建设中应优先采用环保的施工工艺和材料，不得使用不符合环保标准的工艺、材料。</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通信局（站）报废的铅酸蓄电池回收须执行《中华人民共和国固体废物污染环境防治法》和《通信用铅酸蓄电池的回收处理要求》（</w:t>
      </w:r>
      <w:r>
        <w:rPr>
          <w:rFonts w:ascii="Times New Roman" w:hAnsi="Times New Roman" w:cs="Times New Roman"/>
          <w:kern w:val="2"/>
        </w:rPr>
        <w:t>GB/T 22424-2008</w:t>
      </w:r>
      <w:r>
        <w:rPr>
          <w:rFonts w:hint="eastAsia" w:ascii="Times New Roman" w:hAnsi="Times New Roman" w:cs="Times New Roman"/>
          <w:kern w:val="2"/>
        </w:rPr>
        <w:t>）的规定。</w:t>
      </w:r>
    </w:p>
    <w:p>
      <w:pPr>
        <w:pStyle w:val="3"/>
      </w:pPr>
      <w:bookmarkStart w:id="205" w:name="_Toc56092795"/>
      <w:bookmarkStart w:id="206" w:name="_Toc462760568"/>
      <w:bookmarkStart w:id="207" w:name="_Toc225099048"/>
      <w:r>
        <w:rPr>
          <w:rFonts w:hint="eastAsia"/>
        </w:rPr>
        <w:t>噪声控制</w:t>
      </w:r>
      <w:bookmarkEnd w:id="205"/>
      <w:bookmarkEnd w:id="206"/>
      <w:bookmarkEnd w:id="207"/>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通信建设项目在施工过程中排放的噪声，应当满足</w:t>
      </w:r>
      <w:r>
        <w:rPr>
          <w:rFonts w:ascii="Times New Roman" w:hAnsi="Times New Roman" w:cs="Times New Roman"/>
          <w:kern w:val="2"/>
        </w:rPr>
        <w:t>GB 12523-2011</w:t>
      </w:r>
      <w:r>
        <w:rPr>
          <w:rFonts w:hint="eastAsia" w:ascii="Times New Roman" w:hAnsi="Times New Roman" w:cs="Times New Roman"/>
          <w:kern w:val="2"/>
        </w:rPr>
        <w:t>《建筑施工场界环境噪声排放标准》的要求，并符合环保部门的相关规定。</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通信局（站）建设应合理选址，并满足</w:t>
      </w:r>
      <w:r>
        <w:rPr>
          <w:rFonts w:ascii="Times New Roman" w:hAnsi="Times New Roman" w:cs="Times New Roman"/>
          <w:kern w:val="2"/>
        </w:rPr>
        <w:t>GB 12348-2008</w:t>
      </w:r>
      <w:r>
        <w:rPr>
          <w:rFonts w:hint="eastAsia" w:ascii="Times New Roman" w:hAnsi="Times New Roman" w:cs="Times New Roman"/>
          <w:kern w:val="2"/>
        </w:rPr>
        <w:t>《工业企业厂界噪声排放标准》的要求。</w:t>
      </w:r>
    </w:p>
    <w:p>
      <w:pPr>
        <w:widowControl w:val="0"/>
        <w:snapToGrid w:val="0"/>
        <w:spacing w:line="360" w:lineRule="auto"/>
        <w:ind w:firstLine="480" w:firstLineChars="200"/>
        <w:contextualSpacing/>
        <w:jc w:val="both"/>
        <w:rPr>
          <w:rFonts w:ascii="Times New Roman" w:hAnsi="Times New Roman" w:cs="Times New Roman"/>
          <w:kern w:val="2"/>
        </w:rPr>
        <w:sectPr>
          <w:footerReference r:id="rId14" w:type="default"/>
          <w:pgSz w:w="11906" w:h="16838"/>
          <w:pgMar w:top="1440" w:right="1287" w:bottom="1440" w:left="1287" w:header="851" w:footer="992" w:gutter="0"/>
          <w:pgNumType w:start="1"/>
          <w:cols w:space="720" w:num="1"/>
          <w:docGrid w:linePitch="326" w:charSpace="0"/>
        </w:sectPr>
      </w:pPr>
      <w:r>
        <w:rPr>
          <w:rFonts w:hint="eastAsia" w:ascii="Times New Roman" w:hAnsi="Times New Roman" w:cs="Times New Roman"/>
          <w:kern w:val="2"/>
        </w:rPr>
        <w:t>必须保持防治环境噪声污染的设施正常使用，拆除或闲置环境噪声污染防治设施应报环境保护行政主管部门批准。</w:t>
      </w:r>
    </w:p>
    <w:p>
      <w:pPr>
        <w:pStyle w:val="2"/>
      </w:pPr>
      <w:bookmarkStart w:id="208" w:name="_Toc56092796"/>
      <w:r>
        <w:t>5G</w:t>
      </w:r>
      <w:r>
        <w:rPr>
          <w:rFonts w:hint="eastAsia"/>
        </w:rPr>
        <w:t>安全分析</w:t>
      </w:r>
      <w:bookmarkEnd w:id="208"/>
    </w:p>
    <w:p>
      <w:pPr>
        <w:widowControl w:val="0"/>
        <w:spacing w:line="360" w:lineRule="auto"/>
        <w:ind w:firstLine="480" w:firstLineChars="200"/>
        <w:jc w:val="both"/>
        <w:rPr>
          <w:rFonts w:cs="Times New Roman"/>
          <w:kern w:val="2"/>
        </w:rPr>
      </w:pPr>
      <w:r>
        <w:rPr>
          <w:rFonts w:cs="Times New Roman"/>
          <w:kern w:val="2"/>
        </w:rPr>
        <w:t xml:space="preserve">5G </w:t>
      </w:r>
      <w:r>
        <w:rPr>
          <w:rFonts w:hint="eastAsia" w:cs="Times New Roman"/>
          <w:kern w:val="2"/>
        </w:rPr>
        <w:t>不仅是技术变革，更是新生态体系的构建，认识</w:t>
      </w:r>
      <w:r>
        <w:rPr>
          <w:rFonts w:cs="Times New Roman"/>
          <w:kern w:val="2"/>
        </w:rPr>
        <w:t>5G</w:t>
      </w:r>
      <w:r>
        <w:rPr>
          <w:rFonts w:hint="eastAsia" w:cs="Times New Roman"/>
          <w:kern w:val="2"/>
        </w:rPr>
        <w:t>安全问题，既需要从技术、场景等角度进行客观分析，也需要从产业生态维度进行综合评估。</w:t>
      </w:r>
    </w:p>
    <w:p>
      <w:pPr>
        <w:pStyle w:val="3"/>
        <w:numPr>
          <w:ilvl w:val="0"/>
          <w:numId w:val="53"/>
        </w:numPr>
      </w:pPr>
      <w:bookmarkStart w:id="209" w:name="_Toc56092797"/>
      <w:r>
        <w:t xml:space="preserve">5G </w:t>
      </w:r>
      <w:r>
        <w:rPr>
          <w:rFonts w:hint="eastAsia"/>
        </w:rPr>
        <w:t>关键技术安全分析</w:t>
      </w:r>
      <w:bookmarkEnd w:id="209"/>
    </w:p>
    <w:p>
      <w:pPr>
        <w:pStyle w:val="5"/>
        <w:numPr>
          <w:ilvl w:val="0"/>
          <w:numId w:val="54"/>
        </w:numPr>
      </w:pPr>
      <w:bookmarkStart w:id="210" w:name="_Toc56092798"/>
      <w:r>
        <w:rPr>
          <w:rFonts w:hint="eastAsia"/>
        </w:rPr>
        <w:t>网络功能虚拟化</w:t>
      </w:r>
      <w:bookmarkEnd w:id="210"/>
    </w:p>
    <w:p>
      <w:pPr>
        <w:widowControl w:val="0"/>
        <w:spacing w:line="360" w:lineRule="auto"/>
        <w:ind w:firstLine="480" w:firstLineChars="200"/>
        <w:jc w:val="both"/>
        <w:rPr>
          <w:rFonts w:cs="Times New Roman"/>
          <w:kern w:val="2"/>
        </w:rPr>
      </w:pPr>
      <w:r>
        <w:rPr>
          <w:rFonts w:hint="eastAsia" w:cs="Times New Roman"/>
          <w:kern w:val="2"/>
        </w:rPr>
        <w:t>安全风险：一是虚拟环境下，管理控制功能高度集中，一旦其功能失效或被非法控制，将影响整个系统的安全稳定运行；二是多个虚拟网络功能（</w:t>
      </w:r>
      <w:r>
        <w:rPr>
          <w:rFonts w:cs="Times New Roman"/>
          <w:kern w:val="2"/>
        </w:rPr>
        <w:t>VNF</w:t>
      </w:r>
      <w:r>
        <w:rPr>
          <w:rFonts w:hint="eastAsia" w:cs="Times New Roman"/>
          <w:kern w:val="2"/>
        </w:rPr>
        <w:t>）共享下层基础资源，若某个虚拟网络功能被攻击将会波及其他功能；三是由于网络虚拟化大量采用开源和第三方软件，</w:t>
      </w:r>
      <w:r>
        <w:rPr>
          <w:rFonts w:cs="Times New Roman"/>
          <w:kern w:val="2"/>
        </w:rPr>
        <w:t xml:space="preserve"> </w:t>
      </w:r>
      <w:r>
        <w:rPr>
          <w:rFonts w:hint="eastAsia" w:cs="Times New Roman"/>
          <w:kern w:val="2"/>
        </w:rPr>
        <w:t>引入安全漏洞的可能性加大。</w:t>
      </w:r>
    </w:p>
    <w:p>
      <w:pPr>
        <w:widowControl w:val="0"/>
        <w:spacing w:line="360" w:lineRule="auto"/>
        <w:ind w:firstLine="480" w:firstLineChars="200"/>
        <w:jc w:val="both"/>
        <w:rPr>
          <w:rFonts w:cs="Times New Roman"/>
          <w:kern w:val="2"/>
        </w:rPr>
      </w:pPr>
      <w:r>
        <w:rPr>
          <w:rFonts w:hint="eastAsia" w:cs="Times New Roman"/>
          <w:kern w:val="2"/>
        </w:rPr>
        <w:t>技术应对措施：可借鉴现有在</w:t>
      </w:r>
      <w:r>
        <w:rPr>
          <w:rFonts w:cs="Times New Roman"/>
          <w:kern w:val="2"/>
        </w:rPr>
        <w:t>4G</w:t>
      </w:r>
      <w:r>
        <w:rPr>
          <w:rFonts w:hint="eastAsia" w:cs="Times New Roman"/>
          <w:kern w:val="2"/>
        </w:rPr>
        <w:t>核心网和</w:t>
      </w:r>
      <w:r>
        <w:rPr>
          <w:rFonts w:cs="Times New Roman"/>
          <w:kern w:val="2"/>
        </w:rPr>
        <w:t>IT</w:t>
      </w:r>
      <w:r>
        <w:rPr>
          <w:rFonts w:hint="eastAsia" w:cs="Times New Roman"/>
          <w:kern w:val="2"/>
        </w:rPr>
        <w:t>行业应用中使用的云化安全解决方案，并参考欧洲电信标准化协会（</w:t>
      </w:r>
      <w:r>
        <w:rPr>
          <w:rFonts w:cs="Times New Roman"/>
          <w:kern w:val="2"/>
        </w:rPr>
        <w:t>ETSI</w:t>
      </w:r>
      <w:r>
        <w:rPr>
          <w:rFonts w:hint="eastAsia" w:cs="Times New Roman"/>
          <w:kern w:val="2"/>
        </w:rPr>
        <w:t>）制定的多个网络虚拟化安全标准。一是进行系统安全加固，对管理控制操作进行安全跟踪和审计，提升防攻击能力。二是提供端到端、多层次资源的安全隔离措施，对关键数据进行加密和备份。三是加强开源第三方软件安全管理。</w:t>
      </w:r>
    </w:p>
    <w:p>
      <w:pPr>
        <w:pStyle w:val="5"/>
      </w:pPr>
      <w:bookmarkStart w:id="211" w:name="_Toc56092799"/>
      <w:r>
        <w:rPr>
          <w:rFonts w:hint="eastAsia"/>
        </w:rPr>
        <w:t>网络切片</w:t>
      </w:r>
      <w:bookmarkEnd w:id="211"/>
    </w:p>
    <w:p>
      <w:pPr>
        <w:widowControl w:val="0"/>
        <w:spacing w:line="360" w:lineRule="auto"/>
        <w:ind w:firstLine="480" w:firstLineChars="200"/>
        <w:jc w:val="both"/>
        <w:rPr>
          <w:rFonts w:cs="Times New Roman"/>
          <w:kern w:val="2"/>
        </w:rPr>
      </w:pPr>
      <w:r>
        <w:rPr>
          <w:rFonts w:hint="eastAsia" w:ascii="等线" w:hAnsi="等线" w:eastAsia="等线" w:cs="Times New Roman"/>
          <w:kern w:val="2"/>
        </w:rPr>
        <w:t>安</w:t>
      </w:r>
      <w:r>
        <w:rPr>
          <w:rFonts w:hint="eastAsia" w:cs="Times New Roman"/>
          <w:kern w:val="2"/>
        </w:rPr>
        <w:t>全风险：网络切片基于虚拟化技术，在共享的资源上实现逻辑隔离，如果没有采取适当的安全隔离机制和措施，当某个低防护能力的网络切片受到攻击，攻击者可以此为跳板攻击其他切片，进而影响其正常运行。</w:t>
      </w:r>
    </w:p>
    <w:p>
      <w:pPr>
        <w:widowControl w:val="0"/>
        <w:spacing w:line="360" w:lineRule="auto"/>
        <w:ind w:firstLine="480" w:firstLineChars="200"/>
        <w:jc w:val="both"/>
        <w:rPr>
          <w:rFonts w:cs="Times New Roman"/>
          <w:kern w:val="2"/>
        </w:rPr>
      </w:pPr>
      <w:r>
        <w:rPr>
          <w:rFonts w:hint="eastAsia" w:cs="Times New Roman"/>
          <w:kern w:val="2"/>
        </w:rPr>
        <w:t>技术应对措施：针对上述安全风险，可使用云化、虚拟化隔离措</w:t>
      </w:r>
      <w:r>
        <w:rPr>
          <w:rFonts w:cs="Times New Roman"/>
          <w:kern w:val="2"/>
        </w:rPr>
        <w:t xml:space="preserve"> </w:t>
      </w:r>
      <w:r>
        <w:rPr>
          <w:rFonts w:hint="eastAsia" w:cs="Times New Roman"/>
          <w:kern w:val="2"/>
        </w:rPr>
        <w:t>施，如物理隔离，虚机（</w:t>
      </w:r>
      <w:r>
        <w:rPr>
          <w:rFonts w:cs="Times New Roman"/>
          <w:kern w:val="2"/>
        </w:rPr>
        <w:t>VM</w:t>
      </w:r>
      <w:r>
        <w:rPr>
          <w:rFonts w:hint="eastAsia" w:cs="Times New Roman"/>
          <w:kern w:val="2"/>
        </w:rPr>
        <w:t>）资源隔离、虚拟防火墙等，实现精准、灵活的切片隔离，保证不同切片使用者之间资源的有效隔离，同时要做好网络切片运维和运营安全的管理，确保相应的技术措施得到落实。</w:t>
      </w:r>
    </w:p>
    <w:p>
      <w:pPr>
        <w:pStyle w:val="5"/>
      </w:pPr>
      <w:bookmarkStart w:id="212" w:name="_Toc56092800"/>
      <w:r>
        <w:rPr>
          <w:rFonts w:hint="eastAsia"/>
        </w:rPr>
        <w:t>边缘计算</w:t>
      </w:r>
      <w:bookmarkEnd w:id="212"/>
    </w:p>
    <w:p>
      <w:pPr>
        <w:widowControl w:val="0"/>
        <w:spacing w:line="360" w:lineRule="auto"/>
        <w:ind w:firstLine="480" w:firstLineChars="200"/>
        <w:jc w:val="both"/>
        <w:rPr>
          <w:rFonts w:cs="Times New Roman"/>
          <w:kern w:val="2"/>
        </w:rPr>
      </w:pPr>
      <w:r>
        <w:rPr>
          <w:rFonts w:hint="eastAsia" w:cs="Times New Roman"/>
          <w:kern w:val="2"/>
        </w:rPr>
        <w:t>安全风险：一是边缘计算节点下沉到核心网边缘，在部署到相对不安全的物理环境时，受到物理攻击的可能性更大。二是在边缘计算平台上可部署多个应用，共享相关资源，一旦某个应用防护较弱被攻破，将会影响在边缘计算平台上其他应用的安全运行。</w:t>
      </w:r>
    </w:p>
    <w:p>
      <w:pPr>
        <w:widowControl w:val="0"/>
        <w:spacing w:line="360" w:lineRule="auto"/>
        <w:ind w:firstLine="480" w:firstLineChars="200"/>
        <w:jc w:val="both"/>
        <w:rPr>
          <w:rFonts w:ascii="等线" w:hAnsi="等线" w:eastAsia="等线" w:cs="Times New Roman"/>
          <w:kern w:val="2"/>
        </w:rPr>
      </w:pPr>
      <w:r>
        <w:rPr>
          <w:rFonts w:hint="eastAsia" w:cs="Times New Roman"/>
          <w:kern w:val="2"/>
        </w:rPr>
        <w:t>技术应对措施：一是对边缘计算设施加强物理保护和网络防护，充分利用已有的安全技术进行平台加固并增强边缘设施自身的防盗防破坏措施。二是加强应用的安全防护，完善应用层接入到边缘计算节点的安全认证与授权机制，在部署第三方应用时，要根据部署模式明确各方安全责任划分并协作落实。</w:t>
      </w:r>
    </w:p>
    <w:p>
      <w:pPr>
        <w:pStyle w:val="5"/>
      </w:pPr>
      <w:bookmarkStart w:id="213" w:name="_Toc56092801"/>
      <w:r>
        <w:rPr>
          <w:rFonts w:hint="eastAsia"/>
        </w:rPr>
        <w:t>网络能力开放</w:t>
      </w:r>
      <w:bookmarkEnd w:id="213"/>
    </w:p>
    <w:p>
      <w:pPr>
        <w:widowControl w:val="0"/>
        <w:spacing w:line="360" w:lineRule="auto"/>
        <w:ind w:firstLine="480" w:firstLineChars="200"/>
        <w:jc w:val="both"/>
        <w:rPr>
          <w:rFonts w:cs="Times New Roman"/>
          <w:kern w:val="2"/>
        </w:rPr>
      </w:pPr>
      <w:r>
        <w:rPr>
          <w:rFonts w:hint="eastAsia" w:cs="Times New Roman"/>
          <w:kern w:val="2"/>
        </w:rPr>
        <w:t>安全风险：一是网络能力开放将用户个人信息、网络数据和业务数据等从网络运营商内部的封闭平台中开放出来，网络运营商对数据的管理控制能力减弱，可能会带来数据泄露的风险。二是网络能力开放接口采用互联网通用协议，会进一步将互联网已有的安全风险引入到</w:t>
      </w:r>
      <w:r>
        <w:rPr>
          <w:rFonts w:cs="Times New Roman"/>
          <w:kern w:val="2"/>
        </w:rPr>
        <w:t>5G</w:t>
      </w:r>
      <w:r>
        <w:rPr>
          <w:rFonts w:hint="eastAsia" w:cs="Times New Roman"/>
          <w:kern w:val="2"/>
        </w:rPr>
        <w:t>网络。</w:t>
      </w:r>
    </w:p>
    <w:p>
      <w:pPr>
        <w:widowControl w:val="0"/>
        <w:spacing w:line="360" w:lineRule="auto"/>
        <w:ind w:firstLine="480" w:firstLineChars="200"/>
        <w:jc w:val="both"/>
        <w:rPr>
          <w:rFonts w:cs="Times New Roman"/>
          <w:kern w:val="2"/>
        </w:rPr>
      </w:pPr>
      <w:r>
        <w:rPr>
          <w:rFonts w:hint="eastAsia" w:cs="Times New Roman"/>
          <w:kern w:val="2"/>
        </w:rPr>
        <w:t>技术应对措施：一是加强</w:t>
      </w:r>
      <w:r>
        <w:rPr>
          <w:rFonts w:cs="Times New Roman"/>
          <w:kern w:val="2"/>
        </w:rPr>
        <w:t xml:space="preserve"> 5G </w:t>
      </w:r>
      <w:r>
        <w:rPr>
          <w:rFonts w:hint="eastAsia" w:cs="Times New Roman"/>
          <w:kern w:val="2"/>
        </w:rPr>
        <w:t>网络数据保护，强化安全威胁监测与处置。二是加强网络开放接口安全防护能力，防止攻击者从开放接口渗透进入运营商网络。</w:t>
      </w:r>
    </w:p>
    <w:p>
      <w:pPr>
        <w:widowControl w:val="0"/>
        <w:spacing w:line="360" w:lineRule="auto"/>
        <w:ind w:firstLine="480" w:firstLineChars="200"/>
        <w:jc w:val="both"/>
        <w:rPr>
          <w:rFonts w:cs="Times New Roman"/>
          <w:kern w:val="2"/>
        </w:rPr>
      </w:pPr>
      <w:r>
        <w:rPr>
          <w:rFonts w:hint="eastAsia" w:cs="Times New Roman"/>
          <w:kern w:val="2"/>
        </w:rPr>
        <w:t>从整体看，尽管</w:t>
      </w:r>
      <w:r>
        <w:rPr>
          <w:rFonts w:cs="Times New Roman"/>
          <w:kern w:val="2"/>
        </w:rPr>
        <w:t xml:space="preserve"> 5G </w:t>
      </w:r>
      <w:r>
        <w:rPr>
          <w:rFonts w:hint="eastAsia" w:cs="Times New Roman"/>
          <w:kern w:val="2"/>
        </w:rPr>
        <w:t>网络引入的网络功能虚拟化、网络切片、边缘计算、网络能力开放等关键技术，一定程度上带来了新的安全威胁和风险，对数据保护、安全防护和运营部署等方面提出了更高要求，但这些技术的引入也是逐步推进和不断迭代的，其伴生而来的安全风险，既可通过强化事前风险评估，也可在事中事后环节采取相应的技术解决方案和安全保障措施，予以缓解和应对。</w:t>
      </w:r>
    </w:p>
    <w:p>
      <w:pPr>
        <w:pStyle w:val="3"/>
      </w:pPr>
      <w:bookmarkStart w:id="214" w:name="_Toc56092802"/>
      <w:r>
        <w:t xml:space="preserve">5G </w:t>
      </w:r>
      <w:r>
        <w:rPr>
          <w:rFonts w:hint="eastAsia"/>
        </w:rPr>
        <w:t>典型场景安全分析</w:t>
      </w:r>
      <w:bookmarkEnd w:id="214"/>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应用场景因技术本身以及应用场景自身特点面临新的安全风险，成为影响</w:t>
      </w:r>
      <w:r>
        <w:rPr>
          <w:rFonts w:cs="Times New Roman"/>
          <w:kern w:val="2"/>
        </w:rPr>
        <w:t>5G</w:t>
      </w:r>
      <w:r>
        <w:rPr>
          <w:rFonts w:hint="eastAsia" w:cs="Times New Roman"/>
          <w:kern w:val="2"/>
        </w:rPr>
        <w:t>融合业务发展的关键要素。目前</w:t>
      </w:r>
      <w:r>
        <w:rPr>
          <w:rFonts w:cs="Times New Roman"/>
          <w:kern w:val="2"/>
        </w:rPr>
        <w:t>5G</w:t>
      </w:r>
      <w:r>
        <w:rPr>
          <w:rFonts w:hint="eastAsia" w:cs="Times New Roman"/>
          <w:kern w:val="2"/>
        </w:rPr>
        <w:t>典型场景以增强移动宽带业务为主，并逐步拓展到各垂直行业。</w:t>
      </w:r>
      <w:r>
        <w:rPr>
          <w:rFonts w:cs="Times New Roman"/>
          <w:kern w:val="2"/>
        </w:rPr>
        <w:t>3GPP</w:t>
      </w:r>
      <w:r>
        <w:rPr>
          <w:rFonts w:hint="eastAsia" w:cs="Times New Roman"/>
          <w:kern w:val="2"/>
        </w:rPr>
        <w:t>已经完成</w:t>
      </w:r>
      <w:r>
        <w:rPr>
          <w:rFonts w:cs="Times New Roman"/>
          <w:kern w:val="2"/>
        </w:rPr>
        <w:t>eMBB</w:t>
      </w:r>
      <w:r>
        <w:rPr>
          <w:rFonts w:hint="eastAsia" w:cs="Times New Roman"/>
          <w:kern w:val="2"/>
        </w:rPr>
        <w:t>场景相关安全标准制定工作，</w:t>
      </w:r>
      <w:r>
        <w:rPr>
          <w:rFonts w:cs="Times New Roman"/>
          <w:kern w:val="2"/>
        </w:rPr>
        <w:t>uRLLC</w:t>
      </w:r>
      <w:r>
        <w:rPr>
          <w:rFonts w:hint="eastAsia" w:cs="Times New Roman"/>
          <w:kern w:val="2"/>
        </w:rPr>
        <w:t>及</w:t>
      </w:r>
      <w:r>
        <w:rPr>
          <w:rFonts w:cs="Times New Roman"/>
          <w:kern w:val="2"/>
        </w:rPr>
        <w:t>mMTC</w:t>
      </w:r>
      <w:r>
        <w:rPr>
          <w:rFonts w:hint="eastAsia" w:cs="Times New Roman"/>
          <w:kern w:val="2"/>
        </w:rPr>
        <w:t>场景标准正在制定中。</w:t>
      </w:r>
    </w:p>
    <w:p>
      <w:pPr>
        <w:pStyle w:val="5"/>
        <w:numPr>
          <w:ilvl w:val="0"/>
          <w:numId w:val="55"/>
        </w:numPr>
      </w:pPr>
      <w:bookmarkStart w:id="215" w:name="_Toc56092803"/>
      <w:r>
        <w:rPr>
          <w:rFonts w:hint="eastAsia"/>
        </w:rPr>
        <w:t>增强移动宽带（</w:t>
      </w:r>
      <w:r>
        <w:t>eMBB</w:t>
      </w:r>
      <w:r>
        <w:rPr>
          <w:rFonts w:hint="eastAsia"/>
        </w:rPr>
        <w:t>）场景：</w:t>
      </w:r>
      <w:bookmarkEnd w:id="215"/>
    </w:p>
    <w:p>
      <w:pPr>
        <w:widowControl w:val="0"/>
        <w:spacing w:line="360" w:lineRule="auto"/>
        <w:ind w:firstLine="480" w:firstLineChars="200"/>
        <w:jc w:val="both"/>
        <w:rPr>
          <w:rFonts w:ascii="等线" w:hAnsi="等线" w:eastAsia="等线" w:cs="Times New Roman"/>
          <w:kern w:val="2"/>
        </w:rPr>
      </w:pPr>
      <w:r>
        <w:rPr>
          <w:rFonts w:hint="eastAsia" w:ascii="等线" w:hAnsi="等线" w:eastAsia="等线" w:cs="Times New Roman"/>
          <w:kern w:val="2"/>
        </w:rPr>
        <w:t>主</w:t>
      </w:r>
      <w:r>
        <w:rPr>
          <w:rFonts w:hint="eastAsia" w:cs="Times New Roman"/>
          <w:kern w:val="2"/>
        </w:rPr>
        <w:t>要应用包括</w:t>
      </w:r>
      <w:r>
        <w:rPr>
          <w:rFonts w:cs="Times New Roman"/>
          <w:kern w:val="2"/>
        </w:rPr>
        <w:t>4K/8K</w:t>
      </w:r>
      <w:r>
        <w:rPr>
          <w:rFonts w:hint="eastAsia" w:cs="Times New Roman"/>
          <w:kern w:val="2"/>
        </w:rPr>
        <w:t>超高清移动视频、沉浸式的</w:t>
      </w:r>
      <w:r>
        <w:rPr>
          <w:rFonts w:cs="Times New Roman"/>
          <w:kern w:val="2"/>
        </w:rPr>
        <w:t>AR</w:t>
      </w:r>
      <w:r>
        <w:rPr>
          <w:rFonts w:hint="eastAsia" w:cs="Times New Roman"/>
          <w:kern w:val="2"/>
        </w:rPr>
        <w:t>（增强现实）</w:t>
      </w:r>
      <w:r>
        <w:rPr>
          <w:rFonts w:cs="Times New Roman"/>
          <w:kern w:val="2"/>
        </w:rPr>
        <w:t>/VR</w:t>
      </w:r>
      <w:r>
        <w:rPr>
          <w:rFonts w:hint="eastAsia" w:cs="Times New Roman"/>
          <w:kern w:val="2"/>
        </w:rPr>
        <w:t>（虚拟现实）业务。主要风险是：增强移动宽带场景下的超大流量对于现有网络安全防护手段形成挑战。由于</w:t>
      </w:r>
      <w:r>
        <w:rPr>
          <w:rFonts w:cs="Times New Roman"/>
          <w:kern w:val="2"/>
        </w:rPr>
        <w:t>5G</w:t>
      </w:r>
      <w:r>
        <w:rPr>
          <w:rFonts w:hint="eastAsia" w:cs="Times New Roman"/>
          <w:kern w:val="2"/>
        </w:rPr>
        <w:t>数据速率较</w:t>
      </w:r>
      <w:r>
        <w:rPr>
          <w:rFonts w:cs="Times New Roman"/>
          <w:kern w:val="2"/>
        </w:rPr>
        <w:t>4G</w:t>
      </w:r>
      <w:r>
        <w:rPr>
          <w:rFonts w:hint="eastAsia" w:cs="Times New Roman"/>
          <w:kern w:val="2"/>
        </w:rPr>
        <w:t>增长</w:t>
      </w:r>
      <w:r>
        <w:rPr>
          <w:rFonts w:cs="Times New Roman"/>
          <w:kern w:val="2"/>
        </w:rPr>
        <w:t>10</w:t>
      </w:r>
      <w:r>
        <w:rPr>
          <w:rFonts w:hint="eastAsia" w:cs="Times New Roman"/>
          <w:kern w:val="2"/>
        </w:rPr>
        <w:t>倍以上，网络边缘数据流量将大幅提升，现有网络中部署的防火墙、入侵检测系统等安全设备在流量检测、链路覆盖、数据存储等方面将难以满足超大流量下的安全防护需求，面临较大挑战。</w:t>
      </w:r>
    </w:p>
    <w:p>
      <w:pPr>
        <w:pStyle w:val="5"/>
      </w:pPr>
      <w:bookmarkStart w:id="216" w:name="_Toc56092804"/>
      <w:r>
        <w:rPr>
          <w:rFonts w:hint="eastAsia"/>
        </w:rPr>
        <w:t>超高可靠低时延（</w:t>
      </w:r>
      <w:r>
        <w:t>uRLLC</w:t>
      </w:r>
      <w:r>
        <w:rPr>
          <w:rFonts w:hint="eastAsia"/>
        </w:rPr>
        <w:t>）场景：</w:t>
      </w:r>
      <w:bookmarkEnd w:id="216"/>
    </w:p>
    <w:p>
      <w:pPr>
        <w:widowControl w:val="0"/>
        <w:spacing w:line="360" w:lineRule="auto"/>
        <w:ind w:firstLine="480" w:firstLineChars="200"/>
        <w:jc w:val="both"/>
        <w:rPr>
          <w:rFonts w:cs="Times New Roman"/>
          <w:kern w:val="2"/>
        </w:rPr>
      </w:pPr>
      <w:r>
        <w:rPr>
          <w:rFonts w:hint="eastAsia" w:cs="Times New Roman"/>
          <w:kern w:val="2"/>
        </w:rPr>
        <w:t>典型应用包括工业互联网、车联网自动驾驶等。</w:t>
      </w:r>
      <w:r>
        <w:rPr>
          <w:rFonts w:cs="Times New Roman"/>
          <w:kern w:val="2"/>
        </w:rPr>
        <w:t>uRLLC</w:t>
      </w:r>
      <w:r>
        <w:rPr>
          <w:rFonts w:hint="eastAsia" w:cs="Times New Roman"/>
          <w:kern w:val="2"/>
        </w:rPr>
        <w:t>能够提供高可靠、低时延的服务质量保障，其主要安全风险是：低时延需求造成复杂安全机制部署受限。安全机制的部署，例如接入认证、数据传输安全保护、终端移动过程中切换、数据加解密等均会增加时延，过于复杂的安全机制不能满足低时延业务的要求。</w:t>
      </w:r>
    </w:p>
    <w:p>
      <w:pPr>
        <w:pStyle w:val="5"/>
      </w:pPr>
      <w:bookmarkStart w:id="217" w:name="_Toc56092805"/>
      <w:r>
        <w:rPr>
          <w:rFonts w:hint="eastAsia"/>
        </w:rPr>
        <w:t>海量机器类通信（</w:t>
      </w:r>
      <w:r>
        <w:t>mMTC</w:t>
      </w:r>
      <w:r>
        <w:rPr>
          <w:rFonts w:hint="eastAsia"/>
        </w:rPr>
        <w:t>）场景：</w:t>
      </w:r>
      <w:bookmarkEnd w:id="217"/>
    </w:p>
    <w:p>
      <w:pPr>
        <w:widowControl w:val="0"/>
        <w:spacing w:line="360" w:lineRule="auto"/>
        <w:ind w:firstLine="480" w:firstLineChars="200"/>
        <w:jc w:val="both"/>
        <w:rPr>
          <w:rFonts w:cs="Times New Roman"/>
          <w:kern w:val="2"/>
        </w:rPr>
      </w:pPr>
      <w:r>
        <w:rPr>
          <w:rFonts w:hint="eastAsia" w:cs="Times New Roman"/>
          <w:kern w:val="2"/>
        </w:rPr>
        <w:t>应用覆盖领域广，接入设备多、应用地域和设备供应商标准分散、业务种类多。主要安全风险是：泛在连接场景下的海量多样化终端易被攻击利用，对网络运行安全造成威胁。</w:t>
      </w:r>
      <w:r>
        <w:rPr>
          <w:rFonts w:cs="Times New Roman"/>
          <w:kern w:val="2"/>
        </w:rPr>
        <w:t>5G</w:t>
      </w:r>
      <w:r>
        <w:rPr>
          <w:rFonts w:hint="eastAsia" w:cs="Times New Roman"/>
          <w:kern w:val="2"/>
        </w:rPr>
        <w:t>时代将有海量物联网终端接入，预计到</w:t>
      </w:r>
      <w:r>
        <w:rPr>
          <w:rFonts w:cs="Times New Roman"/>
          <w:kern w:val="2"/>
        </w:rPr>
        <w:t>2025</w:t>
      </w:r>
      <w:r>
        <w:rPr>
          <w:rFonts w:hint="eastAsia" w:cs="Times New Roman"/>
          <w:kern w:val="2"/>
        </w:rPr>
        <w:t>年全球物联网设备联网数量将达到</w:t>
      </w:r>
      <w:r>
        <w:rPr>
          <w:rFonts w:cs="Times New Roman"/>
          <w:kern w:val="2"/>
        </w:rPr>
        <w:t>252</w:t>
      </w:r>
      <w:r>
        <w:rPr>
          <w:rFonts w:hint="eastAsia" w:cs="Times New Roman"/>
          <w:kern w:val="2"/>
        </w:rPr>
        <w:t>亿。其中大量功耗低、计算和存储资源有限的终端难以部署复杂的安全策略，一旦被攻击容易形成僵尸网络，将会成为攻击源，进而引发对用户应用和后台系统等的网络攻击，带来网络中断、系统瘫痪等安全风险。</w:t>
      </w:r>
    </w:p>
    <w:p>
      <w:pPr>
        <w:widowControl w:val="0"/>
        <w:spacing w:line="360" w:lineRule="auto"/>
        <w:ind w:firstLine="480" w:firstLineChars="200"/>
        <w:jc w:val="both"/>
        <w:rPr>
          <w:rFonts w:cs="Times New Roman"/>
          <w:kern w:val="2"/>
        </w:rPr>
      </w:pPr>
      <w:r>
        <w:rPr>
          <w:rFonts w:hint="eastAsia" w:cs="Times New Roman"/>
          <w:kern w:val="2"/>
        </w:rPr>
        <w:t>针对</w:t>
      </w:r>
      <w:r>
        <w:rPr>
          <w:rFonts w:cs="Times New Roman"/>
          <w:kern w:val="2"/>
        </w:rPr>
        <w:t>5G</w:t>
      </w:r>
      <w:r>
        <w:rPr>
          <w:rFonts w:hint="eastAsia" w:cs="Times New Roman"/>
          <w:kern w:val="2"/>
        </w:rPr>
        <w:t>典型应用场景安全风险，可采取如下应对措施：一是加强安全防护技术和设备的演进升级，有效适应和应对超大流量对现有防护手段带来的冲击。二是建立面向低时延需求的安全机制，统筹优化业务接入认证、数据加解密等环节带来的时延，尽力提升低时延条件下安全防护能力。三是构建基于大规模机器类通信场景的安全模型，建立智能动态防御体系应对网络攻击，防止网络安全威胁横向扩散。</w:t>
      </w:r>
    </w:p>
    <w:p>
      <w:pPr>
        <w:widowControl w:val="0"/>
        <w:snapToGrid w:val="0"/>
        <w:spacing w:line="360" w:lineRule="auto"/>
        <w:contextualSpacing/>
        <w:jc w:val="both"/>
        <w:rPr>
          <w:rFonts w:ascii="Times New Roman" w:hAnsi="Times New Roman" w:cs="Times New Roman"/>
          <w:kern w:val="2"/>
        </w:rPr>
        <w:sectPr>
          <w:pgSz w:w="11906" w:h="16838"/>
          <w:pgMar w:top="1440" w:right="1287" w:bottom="1440" w:left="1287" w:header="851" w:footer="992" w:gutter="0"/>
          <w:cols w:space="720" w:num="1"/>
          <w:docGrid w:linePitch="326" w:charSpace="0"/>
        </w:sectPr>
      </w:pPr>
    </w:p>
    <w:p>
      <w:pPr>
        <w:pStyle w:val="2"/>
      </w:pPr>
      <w:bookmarkStart w:id="218" w:name="_Toc56092806"/>
      <w:r>
        <w:t>5G</w:t>
      </w:r>
      <w:r>
        <w:rPr>
          <w:rFonts w:hint="eastAsia"/>
        </w:rPr>
        <w:t>设备能耗</w:t>
      </w:r>
      <w:bookmarkEnd w:id="218"/>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的大宽带、超低延时和海量连接特性将迎来万物互联的时代，带来无限机遇。但同时，</w:t>
      </w:r>
      <w:r>
        <w:rPr>
          <w:rFonts w:cs="Times New Roman"/>
          <w:kern w:val="2"/>
        </w:rPr>
        <w:t>5G</w:t>
      </w:r>
      <w:r>
        <w:rPr>
          <w:rFonts w:hint="eastAsia" w:cs="Times New Roman"/>
          <w:kern w:val="2"/>
        </w:rPr>
        <w:t>基站的功耗也大幅提升。</w:t>
      </w:r>
    </w:p>
    <w:p>
      <w:pPr>
        <w:widowControl w:val="0"/>
        <w:spacing w:line="360" w:lineRule="auto"/>
        <w:ind w:firstLine="480" w:firstLineChars="200"/>
        <w:jc w:val="both"/>
        <w:rPr>
          <w:rFonts w:cs="Times New Roman"/>
          <w:kern w:val="2"/>
        </w:rPr>
      </w:pPr>
      <w:r>
        <w:rPr>
          <w:rFonts w:hint="eastAsia" w:cs="Times New Roman"/>
          <w:kern w:val="2"/>
        </w:rPr>
        <w:t>目前</w:t>
      </w:r>
      <w:r>
        <w:rPr>
          <w:rFonts w:cs="Times New Roman"/>
          <w:kern w:val="2"/>
        </w:rPr>
        <w:t>5G</w:t>
      </w:r>
      <w:r>
        <w:rPr>
          <w:rFonts w:hint="eastAsia" w:cs="Times New Roman"/>
          <w:kern w:val="2"/>
        </w:rPr>
        <w:t>无线网主设备普遍采用支持</w:t>
      </w:r>
      <w:r>
        <w:rPr>
          <w:rFonts w:cs="Times New Roman"/>
          <w:kern w:val="2"/>
        </w:rPr>
        <w:t>100MHz</w:t>
      </w:r>
      <w:r>
        <w:rPr>
          <w:rFonts w:hint="eastAsia" w:cs="Times New Roman"/>
          <w:kern w:val="2"/>
        </w:rPr>
        <w:t>带宽的</w:t>
      </w:r>
      <w:r>
        <w:rPr>
          <w:rFonts w:cs="Times New Roman"/>
          <w:kern w:val="2"/>
        </w:rPr>
        <w:t>64T64R</w:t>
      </w:r>
      <w:r>
        <w:rPr>
          <w:rFonts w:hint="eastAsia" w:cs="Times New Roman"/>
          <w:kern w:val="2"/>
        </w:rPr>
        <w:t>设备，相比</w:t>
      </w:r>
      <w:r>
        <w:rPr>
          <w:rFonts w:cs="Times New Roman"/>
          <w:kern w:val="2"/>
        </w:rPr>
        <w:t>4G</w:t>
      </w:r>
      <w:r>
        <w:rPr>
          <w:rFonts w:hint="eastAsia" w:cs="Times New Roman"/>
          <w:kern w:val="2"/>
        </w:rPr>
        <w:t>网络，提供了超过</w:t>
      </w:r>
      <w:r>
        <w:rPr>
          <w:rFonts w:cs="Times New Roman"/>
          <w:kern w:val="2"/>
        </w:rPr>
        <w:t>60</w:t>
      </w:r>
      <w:r>
        <w:rPr>
          <w:rFonts w:hint="eastAsia" w:cs="Times New Roman"/>
          <w:kern w:val="2"/>
        </w:rPr>
        <w:t>倍小区峰值吞吐率能力，</w:t>
      </w:r>
      <w:r>
        <w:rPr>
          <w:rFonts w:cs="Times New Roman"/>
          <w:kern w:val="2"/>
        </w:rPr>
        <w:t>5G</w:t>
      </w:r>
      <w:r>
        <w:rPr>
          <w:rFonts w:hint="eastAsia" w:cs="Times New Roman"/>
          <w:kern w:val="2"/>
        </w:rPr>
        <w:t>宏站单系统典型功耗达</w:t>
      </w:r>
      <w:r>
        <w:rPr>
          <w:rFonts w:cs="Times New Roman"/>
          <w:kern w:val="2"/>
        </w:rPr>
        <w:t>3</w:t>
      </w:r>
      <w:r>
        <w:rPr>
          <w:rFonts w:hint="eastAsia" w:cs="Times New Roman"/>
          <w:kern w:val="2"/>
        </w:rPr>
        <w:t>～</w:t>
      </w:r>
      <w:r>
        <w:rPr>
          <w:rFonts w:cs="Times New Roman"/>
          <w:kern w:val="2"/>
        </w:rPr>
        <w:t>5kW</w:t>
      </w:r>
      <w:r>
        <w:rPr>
          <w:rFonts w:hint="eastAsia" w:cs="Times New Roman"/>
          <w:kern w:val="2"/>
        </w:rPr>
        <w:t>，是</w:t>
      </w:r>
      <w:r>
        <w:rPr>
          <w:rFonts w:cs="Times New Roman"/>
          <w:kern w:val="2"/>
        </w:rPr>
        <w:t>4G</w:t>
      </w:r>
      <w:r>
        <w:rPr>
          <w:rFonts w:hint="eastAsia" w:cs="Times New Roman"/>
          <w:kern w:val="2"/>
        </w:rPr>
        <w:t>基站的</w:t>
      </w:r>
      <w:r>
        <w:rPr>
          <w:rFonts w:cs="Times New Roman"/>
          <w:kern w:val="2"/>
        </w:rPr>
        <w:t>2.5</w:t>
      </w:r>
      <w:r>
        <w:rPr>
          <w:rFonts w:hint="eastAsia" w:cs="Times New Roman"/>
          <w:kern w:val="2"/>
        </w:rPr>
        <w:t>～</w:t>
      </w:r>
      <w:r>
        <w:rPr>
          <w:rFonts w:cs="Times New Roman"/>
          <w:kern w:val="2"/>
        </w:rPr>
        <w:t>3.5</w:t>
      </w:r>
      <w:r>
        <w:rPr>
          <w:rFonts w:hint="eastAsia" w:cs="Times New Roman"/>
          <w:kern w:val="2"/>
        </w:rPr>
        <w:t>倍，</w:t>
      </w:r>
      <w:r>
        <w:rPr>
          <w:rFonts w:cs="Times New Roman"/>
          <w:kern w:val="2"/>
        </w:rPr>
        <w:t>AAU</w:t>
      </w:r>
      <w:r>
        <w:rPr>
          <w:rFonts w:hint="eastAsia" w:cs="Times New Roman"/>
          <w:kern w:val="2"/>
        </w:rPr>
        <w:t>功耗增加是</w:t>
      </w:r>
      <w:r>
        <w:rPr>
          <w:rFonts w:cs="Times New Roman"/>
          <w:kern w:val="2"/>
        </w:rPr>
        <w:t>5G</w:t>
      </w:r>
      <w:r>
        <w:rPr>
          <w:rFonts w:hint="eastAsia" w:cs="Times New Roman"/>
          <w:kern w:val="2"/>
        </w:rPr>
        <w:t>功耗增加的主要原因。中国铁塔分别比较了华为、中兴通讯、大唐电信三家厂商设备功耗，结果显示，</w:t>
      </w:r>
      <w:r>
        <w:rPr>
          <w:rFonts w:cs="Times New Roman"/>
          <w:kern w:val="2"/>
        </w:rPr>
        <w:t>5G</w:t>
      </w:r>
      <w:r>
        <w:rPr>
          <w:rFonts w:hint="eastAsia" w:cs="Times New Roman"/>
          <w:kern w:val="2"/>
        </w:rPr>
        <w:t>基站典型功耗在</w:t>
      </w:r>
      <w:r>
        <w:rPr>
          <w:rFonts w:cs="Times New Roman"/>
          <w:kern w:val="2"/>
        </w:rPr>
        <w:t>3500</w:t>
      </w:r>
      <w:r>
        <w:rPr>
          <w:rFonts w:hint="eastAsia" w:cs="Times New Roman"/>
          <w:kern w:val="2"/>
        </w:rPr>
        <w:t>瓦左右，而</w:t>
      </w:r>
      <w:r>
        <w:rPr>
          <w:rFonts w:cs="Times New Roman"/>
          <w:kern w:val="2"/>
        </w:rPr>
        <w:t>4G</w:t>
      </w:r>
      <w:r>
        <w:rPr>
          <w:rFonts w:hint="eastAsia" w:cs="Times New Roman"/>
          <w:kern w:val="2"/>
        </w:rPr>
        <w:t>系统典型的功耗仅为</w:t>
      </w:r>
      <w:r>
        <w:rPr>
          <w:rFonts w:cs="Times New Roman"/>
          <w:kern w:val="2"/>
        </w:rPr>
        <w:t>1300</w:t>
      </w:r>
      <w:r>
        <w:rPr>
          <w:rFonts w:hint="eastAsia" w:cs="Times New Roman"/>
          <w:kern w:val="2"/>
        </w:rPr>
        <w:t>瓦左右，需对现网电源、配套设备进行提前扩容。</w:t>
      </w:r>
      <w:r>
        <w:rPr>
          <w:rFonts w:cs="Times New Roman"/>
          <w:kern w:val="2"/>
        </w:rPr>
        <w:t xml:space="preserve"> </w:t>
      </w:r>
    </w:p>
    <w:p>
      <w:pPr>
        <w:widowControl w:val="0"/>
        <w:spacing w:line="360" w:lineRule="auto"/>
        <w:ind w:firstLine="480" w:firstLineChars="200"/>
        <w:jc w:val="both"/>
        <w:rPr>
          <w:rFonts w:cs="Times New Roman"/>
          <w:kern w:val="2"/>
        </w:rPr>
      </w:pPr>
      <w:r>
        <w:rPr>
          <w:rFonts w:hint="eastAsia" w:cs="Times New Roman"/>
          <w:kern w:val="2"/>
        </w:rPr>
        <w:t>由于</w:t>
      </w:r>
      <w:r>
        <w:rPr>
          <w:rFonts w:cs="Times New Roman"/>
          <w:kern w:val="2"/>
        </w:rPr>
        <w:t>5G</w:t>
      </w:r>
      <w:r>
        <w:rPr>
          <w:rFonts w:hint="eastAsia" w:cs="Times New Roman"/>
          <w:kern w:val="2"/>
        </w:rPr>
        <w:t>使用的频段更高，室外宏站覆盖范围缩小。因此，要达到同样覆盖效果，</w:t>
      </w:r>
      <w:r>
        <w:rPr>
          <w:rFonts w:cs="Times New Roman"/>
          <w:kern w:val="2"/>
        </w:rPr>
        <w:t>5G</w:t>
      </w:r>
      <w:r>
        <w:rPr>
          <w:rFonts w:hint="eastAsia" w:cs="Times New Roman"/>
          <w:kern w:val="2"/>
        </w:rPr>
        <w:t>基站数量将是</w:t>
      </w:r>
      <w:r>
        <w:rPr>
          <w:rFonts w:cs="Times New Roman"/>
          <w:kern w:val="2"/>
        </w:rPr>
        <w:t>4G</w:t>
      </w:r>
      <w:r>
        <w:rPr>
          <w:rFonts w:hint="eastAsia" w:cs="Times New Roman"/>
          <w:kern w:val="2"/>
        </w:rPr>
        <w:t>的</w:t>
      </w:r>
      <w:r>
        <w:rPr>
          <w:rFonts w:cs="Times New Roman"/>
          <w:kern w:val="2"/>
        </w:rPr>
        <w:t>3</w:t>
      </w:r>
      <w:r>
        <w:rPr>
          <w:rFonts w:hint="eastAsia" w:cs="Times New Roman"/>
          <w:kern w:val="2"/>
        </w:rPr>
        <w:t>～</w:t>
      </w:r>
      <w:r>
        <w:rPr>
          <w:rFonts w:cs="Times New Roman"/>
          <w:kern w:val="2"/>
        </w:rPr>
        <w:t>4</w:t>
      </w:r>
      <w:r>
        <w:rPr>
          <w:rFonts w:hint="eastAsia" w:cs="Times New Roman"/>
          <w:kern w:val="2"/>
        </w:rPr>
        <w:t>倍。</w:t>
      </w:r>
      <w:r>
        <w:rPr>
          <w:rFonts w:cs="Times New Roman"/>
          <w:kern w:val="2"/>
        </w:rPr>
        <w:t>5G</w:t>
      </w:r>
      <w:r>
        <w:rPr>
          <w:rFonts w:hint="eastAsia" w:cs="Times New Roman"/>
          <w:kern w:val="2"/>
        </w:rPr>
        <w:t>移动网络的整体能耗将是</w:t>
      </w:r>
      <w:r>
        <w:rPr>
          <w:rFonts w:cs="Times New Roman"/>
          <w:kern w:val="2"/>
        </w:rPr>
        <w:t>4G</w:t>
      </w:r>
      <w:r>
        <w:rPr>
          <w:rFonts w:hint="eastAsia" w:cs="Times New Roman"/>
          <w:kern w:val="2"/>
        </w:rPr>
        <w:t>的</w:t>
      </w:r>
      <w:r>
        <w:rPr>
          <w:rFonts w:cs="Times New Roman"/>
          <w:kern w:val="2"/>
        </w:rPr>
        <w:t>9</w:t>
      </w:r>
      <w:r>
        <w:rPr>
          <w:rFonts w:hint="eastAsia" w:cs="Times New Roman"/>
          <w:kern w:val="2"/>
        </w:rPr>
        <w:t>倍以上。</w:t>
      </w:r>
    </w:p>
    <w:p>
      <w:pPr>
        <w:widowControl w:val="0"/>
        <w:spacing w:line="360" w:lineRule="auto"/>
        <w:ind w:firstLine="480" w:firstLineChars="200"/>
        <w:jc w:val="both"/>
        <w:rPr>
          <w:rFonts w:cs="Times New Roman"/>
          <w:kern w:val="2"/>
        </w:rPr>
      </w:pPr>
      <w:r>
        <w:rPr>
          <w:rFonts w:hint="eastAsia" w:cs="Times New Roman"/>
          <w:kern w:val="2"/>
        </w:rPr>
        <w:t>虽然</w:t>
      </w:r>
      <w:r>
        <w:rPr>
          <w:rFonts w:cs="Times New Roman"/>
          <w:kern w:val="2"/>
        </w:rPr>
        <w:t>5G</w:t>
      </w:r>
      <w:r>
        <w:rPr>
          <w:rFonts w:hint="eastAsia" w:cs="Times New Roman"/>
          <w:kern w:val="2"/>
        </w:rPr>
        <w:t>基站的功耗绝对值在增加，但它的能效比肯定是低于</w:t>
      </w:r>
      <w:r>
        <w:rPr>
          <w:rFonts w:cs="Times New Roman"/>
          <w:kern w:val="2"/>
        </w:rPr>
        <w:t>4G</w:t>
      </w:r>
      <w:r>
        <w:rPr>
          <w:rFonts w:hint="eastAsia" w:cs="Times New Roman"/>
          <w:kern w:val="2"/>
        </w:rPr>
        <w:t>的。也就是说，在功耗相同的情况下，</w:t>
      </w:r>
      <w:r>
        <w:rPr>
          <w:rFonts w:cs="Times New Roman"/>
          <w:kern w:val="2"/>
        </w:rPr>
        <w:t>5G</w:t>
      </w:r>
      <w:r>
        <w:rPr>
          <w:rFonts w:hint="eastAsia" w:cs="Times New Roman"/>
          <w:kern w:val="2"/>
        </w:rPr>
        <w:t>的网络容量将是</w:t>
      </w:r>
      <w:r>
        <w:rPr>
          <w:rFonts w:cs="Times New Roman"/>
          <w:kern w:val="2"/>
        </w:rPr>
        <w:t>4G</w:t>
      </w:r>
      <w:r>
        <w:rPr>
          <w:rFonts w:hint="eastAsia" w:cs="Times New Roman"/>
          <w:kern w:val="2"/>
        </w:rPr>
        <w:t>的几十倍，每</w:t>
      </w:r>
      <w:r>
        <w:rPr>
          <w:rFonts w:cs="Times New Roman"/>
          <w:kern w:val="2"/>
        </w:rPr>
        <w:t>bit</w:t>
      </w:r>
      <w:r>
        <w:rPr>
          <w:rFonts w:hint="eastAsia" w:cs="Times New Roman"/>
          <w:kern w:val="2"/>
        </w:rPr>
        <w:t>的耗电量是大幅下降的。</w:t>
      </w:r>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基站下，每</w:t>
      </w:r>
      <w:r>
        <w:rPr>
          <w:rFonts w:cs="Times New Roman"/>
          <w:kern w:val="2"/>
        </w:rPr>
        <w:t>1</w:t>
      </w:r>
      <w:r>
        <w:rPr>
          <w:rFonts w:hint="eastAsia" w:cs="Times New Roman"/>
          <w:kern w:val="2"/>
        </w:rPr>
        <w:t>度电可以下载</w:t>
      </w:r>
      <w:r>
        <w:rPr>
          <w:rFonts w:cs="Times New Roman"/>
          <w:kern w:val="2"/>
        </w:rPr>
        <w:t>5000</w:t>
      </w:r>
      <w:r>
        <w:rPr>
          <w:rFonts w:hint="eastAsia" w:cs="Times New Roman"/>
          <w:kern w:val="2"/>
        </w:rPr>
        <w:t>多部超清电影。而在</w:t>
      </w:r>
      <w:r>
        <w:rPr>
          <w:rFonts w:cs="Times New Roman"/>
          <w:kern w:val="2"/>
        </w:rPr>
        <w:t>4G</w:t>
      </w:r>
      <w:r>
        <w:rPr>
          <w:rFonts w:hint="eastAsia" w:cs="Times New Roman"/>
          <w:kern w:val="2"/>
        </w:rPr>
        <w:t>时代，同样的电量仅能下载不到</w:t>
      </w:r>
      <w:r>
        <w:rPr>
          <w:rFonts w:cs="Times New Roman"/>
          <w:kern w:val="2"/>
        </w:rPr>
        <w:t>200</w:t>
      </w:r>
      <w:r>
        <w:rPr>
          <w:rFonts w:hint="eastAsia" w:cs="Times New Roman"/>
          <w:kern w:val="2"/>
        </w:rPr>
        <w:t>部。</w:t>
      </w:r>
    </w:p>
    <w:p>
      <w:pPr>
        <w:widowControl w:val="0"/>
        <w:spacing w:line="360" w:lineRule="auto"/>
        <w:ind w:firstLine="480" w:firstLineChars="200"/>
        <w:jc w:val="both"/>
        <w:rPr>
          <w:rFonts w:cs="Times New Roman"/>
          <w:kern w:val="2"/>
        </w:rPr>
      </w:pPr>
      <w:r>
        <w:rPr>
          <w:rFonts w:hint="eastAsia" w:cs="Times New Roman"/>
          <w:kern w:val="2"/>
        </w:rPr>
        <w:t>厂家设备功耗平均值（最新外场测试结果）：</w:t>
      </w:r>
      <w:r>
        <w:rPr>
          <w:rFonts w:cs="Times New Roman"/>
          <w:kern w:val="2"/>
        </w:rPr>
        <w:fldChar w:fldCharType="begin"/>
      </w:r>
      <w:r>
        <w:rPr>
          <w:rFonts w:cs="Times New Roman"/>
          <w:kern w:val="2"/>
        </w:rPr>
        <w:instrText xml:space="preserve"> LINK Excel.Sheet.12 "D:\\</w:instrText>
      </w:r>
      <w:r>
        <w:rPr>
          <w:rFonts w:hint="eastAsia" w:cs="Times New Roman"/>
          <w:kern w:val="2"/>
        </w:rPr>
        <w:instrText xml:space="preserve">工作资料</w:instrText>
      </w:r>
      <w:r>
        <w:rPr>
          <w:rFonts w:cs="Times New Roman"/>
          <w:kern w:val="2"/>
        </w:rPr>
        <w:instrText xml:space="preserve">\\</w:instrText>
      </w:r>
      <w:r>
        <w:rPr>
          <w:rFonts w:hint="eastAsia" w:cs="Times New Roman"/>
          <w:kern w:val="2"/>
        </w:rPr>
        <w:instrText xml:space="preserve">重庆铁塔综合支撑</w:instrText>
      </w:r>
      <w:r>
        <w:rPr>
          <w:rFonts w:cs="Times New Roman"/>
          <w:kern w:val="2"/>
        </w:rPr>
        <w:instrText xml:space="preserve">\\</w:instrText>
      </w:r>
      <w:r>
        <w:rPr>
          <w:rFonts w:hint="eastAsia" w:cs="Times New Roman"/>
          <w:kern w:val="2"/>
        </w:rPr>
        <w:instrText xml:space="preserve">重庆铁塔市公司资料</w:instrText>
      </w:r>
      <w:r>
        <w:rPr>
          <w:rFonts w:cs="Times New Roman"/>
          <w:kern w:val="2"/>
        </w:rPr>
        <w:instrText xml:space="preserve">\\</w:instrText>
      </w:r>
      <w:r>
        <w:rPr>
          <w:rFonts w:hint="eastAsia" w:cs="Times New Roman"/>
          <w:kern w:val="2"/>
        </w:rPr>
        <w:instrText xml:space="preserve">铁塔规划材料</w:instrText>
      </w:r>
      <w:r>
        <w:rPr>
          <w:rFonts w:cs="Times New Roman"/>
          <w:kern w:val="2"/>
        </w:rPr>
        <w:instrText xml:space="preserve">\\</w:instrText>
      </w:r>
      <w:r>
        <w:rPr>
          <w:rFonts w:hint="eastAsia" w:cs="Times New Roman"/>
          <w:kern w:val="2"/>
        </w:rPr>
        <w:instrText xml:space="preserve">基础设施规划</w:instrText>
      </w:r>
      <w:r>
        <w:rPr>
          <w:rFonts w:cs="Times New Roman"/>
          <w:kern w:val="2"/>
        </w:rPr>
        <w:instrText xml:space="preserve">-</w:instrText>
      </w:r>
      <w:r>
        <w:rPr>
          <w:rFonts w:hint="eastAsia" w:cs="Times New Roman"/>
          <w:kern w:val="2"/>
        </w:rPr>
        <w:instrText xml:space="preserve">杰赛院</w:instrText>
      </w:r>
      <w:r>
        <w:rPr>
          <w:rFonts w:cs="Times New Roman"/>
          <w:kern w:val="2"/>
        </w:rPr>
        <w:instrText xml:space="preserve">\\</w:instrText>
      </w:r>
      <w:r>
        <w:rPr>
          <w:rFonts w:hint="eastAsia" w:cs="Times New Roman"/>
          <w:kern w:val="2"/>
        </w:rPr>
        <w:instrText xml:space="preserve">万州规划</w:instrText>
      </w:r>
      <w:r>
        <w:rPr>
          <w:rFonts w:cs="Times New Roman"/>
          <w:kern w:val="2"/>
        </w:rPr>
        <w:instrText xml:space="preserve">\\</w:instrText>
      </w:r>
      <w:r>
        <w:rPr>
          <w:rFonts w:hint="eastAsia" w:cs="Times New Roman"/>
          <w:kern w:val="2"/>
        </w:rPr>
        <w:instrText xml:space="preserve">规划站址清单</w:instrText>
      </w:r>
      <w:r>
        <w:rPr>
          <w:rFonts w:cs="Times New Roman"/>
          <w:kern w:val="2"/>
        </w:rPr>
        <w:instrText xml:space="preserve">\\</w:instrText>
      </w:r>
      <w:r>
        <w:rPr>
          <w:rFonts w:hint="eastAsia" w:cs="Times New Roman"/>
          <w:kern w:val="2"/>
        </w:rPr>
        <w:instrText xml:space="preserve">小万州</w:instrText>
      </w:r>
      <w:r>
        <w:rPr>
          <w:rFonts w:cs="Times New Roman"/>
          <w:kern w:val="2"/>
        </w:rPr>
        <w:instrText xml:space="preserve">5G</w:instrText>
      </w:r>
      <w:r>
        <w:rPr>
          <w:rFonts w:hint="eastAsia" w:cs="Times New Roman"/>
          <w:kern w:val="2"/>
        </w:rPr>
        <w:instrText xml:space="preserve">规划新建明细</w:instrText>
      </w:r>
      <w:r>
        <w:rPr>
          <w:rFonts w:cs="Times New Roman"/>
          <w:kern w:val="2"/>
        </w:rPr>
        <w:instrText xml:space="preserve">-1025</w:instrText>
      </w:r>
      <w:r>
        <w:rPr>
          <w:rFonts w:hint="eastAsia" w:cs="Times New Roman"/>
          <w:kern w:val="2"/>
        </w:rPr>
        <w:instrText xml:space="preserve">个</w:instrText>
      </w:r>
      <w:r>
        <w:rPr>
          <w:rFonts w:cs="Times New Roman"/>
          <w:kern w:val="2"/>
        </w:rPr>
        <w:instrText xml:space="preserve">.xlsx" "Sheet5!R2C2:R8C4" \a \f 4 \h  \* MERGEFORMAT </w:instrText>
      </w:r>
      <w:r>
        <w:rPr>
          <w:rFonts w:cs="Times New Roman"/>
          <w:kern w:val="2"/>
        </w:rPr>
        <w:fldChar w:fldCharType="separate"/>
      </w:r>
    </w:p>
    <w:tbl>
      <w:tblPr>
        <w:tblStyle w:val="30"/>
        <w:tblW w:w="8333" w:type="dxa"/>
        <w:jc w:val="center"/>
        <w:tblLayout w:type="autofit"/>
        <w:tblCellMar>
          <w:top w:w="0" w:type="dxa"/>
          <w:left w:w="108" w:type="dxa"/>
          <w:bottom w:w="0" w:type="dxa"/>
          <w:right w:w="108" w:type="dxa"/>
        </w:tblCellMar>
      </w:tblPr>
      <w:tblGrid>
        <w:gridCol w:w="1808"/>
        <w:gridCol w:w="3297"/>
        <w:gridCol w:w="3228"/>
      </w:tblGrid>
      <w:tr>
        <w:tblPrEx>
          <w:tblCellMar>
            <w:top w:w="0" w:type="dxa"/>
            <w:left w:w="108" w:type="dxa"/>
            <w:bottom w:w="0" w:type="dxa"/>
            <w:right w:w="108" w:type="dxa"/>
          </w:tblCellMar>
        </w:tblPrEx>
        <w:trPr>
          <w:trHeight w:val="179" w:hRule="atLeast"/>
          <w:jc w:val="center"/>
        </w:trPr>
        <w:tc>
          <w:tcPr>
            <w:tcW w:w="1808" w:type="dxa"/>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hint="eastAsia" w:cs="Times New Roman"/>
                <w:kern w:val="2"/>
              </w:rPr>
              <w:t>业务负荷</w:t>
            </w:r>
          </w:p>
        </w:tc>
        <w:tc>
          <w:tcPr>
            <w:tcW w:w="3297" w:type="dxa"/>
            <w:tcBorders>
              <w:top w:val="single" w:color="auto" w:sz="4" w:space="0"/>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AAU</w:t>
            </w:r>
            <w:r>
              <w:rPr>
                <w:rFonts w:hint="eastAsia" w:cs="Times New Roman"/>
                <w:kern w:val="2"/>
              </w:rPr>
              <w:t>平均功耗（单位：</w:t>
            </w:r>
            <w:r>
              <w:rPr>
                <w:rFonts w:cs="Times New Roman"/>
                <w:kern w:val="2"/>
              </w:rPr>
              <w:t>W</w:t>
            </w:r>
            <w:r>
              <w:rPr>
                <w:rFonts w:hint="eastAsia" w:cs="Times New Roman"/>
                <w:kern w:val="2"/>
              </w:rPr>
              <w:t>）</w:t>
            </w:r>
          </w:p>
        </w:tc>
        <w:tc>
          <w:tcPr>
            <w:tcW w:w="3228" w:type="dxa"/>
            <w:tcBorders>
              <w:top w:val="single" w:color="auto" w:sz="4" w:space="0"/>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BBU</w:t>
            </w:r>
            <w:r>
              <w:rPr>
                <w:rFonts w:hint="eastAsia" w:cs="Times New Roman"/>
                <w:kern w:val="2"/>
              </w:rPr>
              <w:t>平均功耗（单位：</w:t>
            </w:r>
            <w:r>
              <w:rPr>
                <w:rFonts w:cs="Times New Roman"/>
                <w:kern w:val="2"/>
              </w:rPr>
              <w:t>W</w:t>
            </w:r>
            <w:r>
              <w:rPr>
                <w:rFonts w:hint="eastAsia" w:cs="Times New Roman"/>
                <w:kern w:val="2"/>
              </w:rPr>
              <w:t>）</w:t>
            </w:r>
          </w:p>
        </w:tc>
      </w:tr>
      <w:tr>
        <w:tblPrEx>
          <w:tblCellMar>
            <w:top w:w="0" w:type="dxa"/>
            <w:left w:w="108" w:type="dxa"/>
            <w:bottom w:w="0" w:type="dxa"/>
            <w:right w:w="108" w:type="dxa"/>
          </w:tblCellMar>
        </w:tblPrEx>
        <w:trPr>
          <w:trHeight w:val="179" w:hRule="atLeast"/>
          <w:jc w:val="center"/>
        </w:trPr>
        <w:tc>
          <w:tcPr>
            <w:tcW w:w="1808"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100%</w:t>
            </w:r>
          </w:p>
        </w:tc>
        <w:tc>
          <w:tcPr>
            <w:tcW w:w="3297"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1127</w:t>
            </w:r>
          </w:p>
        </w:tc>
        <w:tc>
          <w:tcPr>
            <w:tcW w:w="3228"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179" w:hRule="atLeast"/>
          <w:jc w:val="center"/>
        </w:trPr>
        <w:tc>
          <w:tcPr>
            <w:tcW w:w="1808"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50%</w:t>
            </w:r>
          </w:p>
        </w:tc>
        <w:tc>
          <w:tcPr>
            <w:tcW w:w="3297"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892</w:t>
            </w:r>
          </w:p>
        </w:tc>
        <w:tc>
          <w:tcPr>
            <w:tcW w:w="3228"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179" w:hRule="atLeast"/>
          <w:jc w:val="center"/>
        </w:trPr>
        <w:tc>
          <w:tcPr>
            <w:tcW w:w="1808"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30%</w:t>
            </w:r>
          </w:p>
        </w:tc>
        <w:tc>
          <w:tcPr>
            <w:tcW w:w="3297"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762</w:t>
            </w:r>
          </w:p>
        </w:tc>
        <w:tc>
          <w:tcPr>
            <w:tcW w:w="3228"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179" w:hRule="atLeast"/>
          <w:jc w:val="center"/>
        </w:trPr>
        <w:tc>
          <w:tcPr>
            <w:tcW w:w="1808"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20%</w:t>
            </w:r>
          </w:p>
        </w:tc>
        <w:tc>
          <w:tcPr>
            <w:tcW w:w="3297"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733</w:t>
            </w:r>
          </w:p>
        </w:tc>
        <w:tc>
          <w:tcPr>
            <w:tcW w:w="3228"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179" w:hRule="atLeast"/>
          <w:jc w:val="center"/>
        </w:trPr>
        <w:tc>
          <w:tcPr>
            <w:tcW w:w="1808"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10%</w:t>
            </w:r>
          </w:p>
        </w:tc>
        <w:tc>
          <w:tcPr>
            <w:tcW w:w="3297"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699</w:t>
            </w:r>
          </w:p>
        </w:tc>
        <w:tc>
          <w:tcPr>
            <w:tcW w:w="3228"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r>
        <w:tblPrEx>
          <w:tblCellMar>
            <w:top w:w="0" w:type="dxa"/>
            <w:left w:w="108" w:type="dxa"/>
            <w:bottom w:w="0" w:type="dxa"/>
            <w:right w:w="108" w:type="dxa"/>
          </w:tblCellMar>
        </w:tblPrEx>
        <w:trPr>
          <w:trHeight w:val="179" w:hRule="atLeast"/>
          <w:jc w:val="center"/>
        </w:trPr>
        <w:tc>
          <w:tcPr>
            <w:tcW w:w="1808" w:type="dxa"/>
            <w:tcBorders>
              <w:top w:val="nil"/>
              <w:left w:val="single" w:color="auto" w:sz="4" w:space="0"/>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hint="eastAsia" w:cs="Times New Roman"/>
                <w:kern w:val="2"/>
              </w:rPr>
              <w:t>空载</w:t>
            </w:r>
          </w:p>
        </w:tc>
        <w:tc>
          <w:tcPr>
            <w:tcW w:w="3297"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633</w:t>
            </w:r>
          </w:p>
        </w:tc>
        <w:tc>
          <w:tcPr>
            <w:tcW w:w="3228" w:type="dxa"/>
            <w:tcBorders>
              <w:top w:val="nil"/>
              <w:left w:val="nil"/>
              <w:bottom w:val="single" w:color="auto" w:sz="4" w:space="0"/>
              <w:right w:val="single" w:color="auto" w:sz="4" w:space="0"/>
            </w:tcBorders>
            <w:noWrap/>
            <w:vAlign w:val="center"/>
          </w:tcPr>
          <w:p>
            <w:pPr>
              <w:widowControl w:val="0"/>
              <w:spacing w:line="360" w:lineRule="auto"/>
              <w:ind w:firstLine="480" w:firstLineChars="200"/>
              <w:jc w:val="center"/>
              <w:rPr>
                <w:rFonts w:cs="Times New Roman"/>
                <w:kern w:val="2"/>
              </w:rPr>
            </w:pPr>
            <w:r>
              <w:rPr>
                <w:rFonts w:cs="Times New Roman"/>
                <w:kern w:val="2"/>
              </w:rPr>
              <w:t>293</w:t>
            </w:r>
          </w:p>
        </w:tc>
      </w:tr>
    </w:tbl>
    <w:p>
      <w:pPr>
        <w:widowControl w:val="0"/>
        <w:spacing w:line="360" w:lineRule="auto"/>
        <w:ind w:firstLine="480" w:firstLineChars="200"/>
        <w:jc w:val="both"/>
        <w:rPr>
          <w:rFonts w:cs="Times New Roman"/>
          <w:kern w:val="2"/>
        </w:rPr>
      </w:pPr>
      <w:r>
        <w:rPr>
          <w:rFonts w:cs="Times New Roman"/>
          <w:kern w:val="2"/>
        </w:rPr>
        <w:fldChar w:fldCharType="end"/>
      </w:r>
      <w:r>
        <w:rPr>
          <w:rFonts w:hint="eastAsia" w:cs="Times New Roman"/>
          <w:kern w:val="2"/>
        </w:rPr>
        <w:t>注：</w:t>
      </w:r>
      <w:r>
        <w:rPr>
          <w:rFonts w:cs="Times New Roman"/>
          <w:kern w:val="2"/>
        </w:rPr>
        <w:t>BBU</w:t>
      </w:r>
      <w:r>
        <w:rPr>
          <w:rFonts w:hint="eastAsia" w:cs="Times New Roman"/>
          <w:kern w:val="2"/>
        </w:rPr>
        <w:t>功耗与</w:t>
      </w:r>
      <w:r>
        <w:rPr>
          <w:rFonts w:cs="Times New Roman"/>
          <w:kern w:val="2"/>
        </w:rPr>
        <w:t>AAU</w:t>
      </w:r>
      <w:r>
        <w:rPr>
          <w:rFonts w:hint="eastAsia" w:cs="Times New Roman"/>
          <w:kern w:val="2"/>
        </w:rPr>
        <w:t>连接数紧密相关，上表测试为</w:t>
      </w:r>
      <w:r>
        <w:rPr>
          <w:rFonts w:cs="Times New Roman"/>
          <w:kern w:val="2"/>
        </w:rPr>
        <w:t>1</w:t>
      </w:r>
      <w:r>
        <w:rPr>
          <w:rFonts w:hint="eastAsia" w:cs="Times New Roman"/>
          <w:kern w:val="2"/>
        </w:rPr>
        <w:t>个</w:t>
      </w:r>
      <w:r>
        <w:rPr>
          <w:rFonts w:cs="Times New Roman"/>
          <w:kern w:val="2"/>
        </w:rPr>
        <w:t>BBU+3</w:t>
      </w:r>
      <w:r>
        <w:rPr>
          <w:rFonts w:hint="eastAsia" w:cs="Times New Roman"/>
          <w:kern w:val="2"/>
        </w:rPr>
        <w:t>个</w:t>
      </w:r>
      <w:r>
        <w:rPr>
          <w:rFonts w:cs="Times New Roman"/>
          <w:kern w:val="2"/>
        </w:rPr>
        <w:t>AAU</w:t>
      </w:r>
      <w:r>
        <w:rPr>
          <w:rFonts w:hint="eastAsia" w:cs="Times New Roman"/>
          <w:kern w:val="2"/>
        </w:rPr>
        <w:t>场景</w:t>
      </w:r>
    </w:p>
    <w:p>
      <w:pPr>
        <w:pStyle w:val="2"/>
      </w:pPr>
      <w:bookmarkStart w:id="219" w:name="_Toc56092807"/>
      <w:r>
        <w:t>5G</w:t>
      </w:r>
      <w:r>
        <w:rPr>
          <w:rFonts w:hint="eastAsia"/>
        </w:rPr>
        <w:t>基站与干扰协调</w:t>
      </w:r>
      <w:bookmarkEnd w:id="219"/>
    </w:p>
    <w:p>
      <w:pPr>
        <w:pStyle w:val="3"/>
        <w:numPr>
          <w:ilvl w:val="0"/>
          <w:numId w:val="56"/>
        </w:numPr>
      </w:pPr>
      <w:bookmarkStart w:id="220" w:name="_Toc56092808"/>
      <w:r>
        <w:t>5G</w:t>
      </w:r>
      <w:r>
        <w:rPr>
          <w:rFonts w:hint="eastAsia"/>
        </w:rPr>
        <w:t>基站与卫星地球站干扰</w:t>
      </w:r>
      <w:bookmarkEnd w:id="220"/>
    </w:p>
    <w:p>
      <w:pPr>
        <w:widowControl w:val="0"/>
        <w:spacing w:line="360" w:lineRule="auto"/>
        <w:ind w:firstLine="480" w:firstLineChars="200"/>
        <w:jc w:val="both"/>
        <w:rPr>
          <w:rFonts w:cs="Times New Roman"/>
          <w:kern w:val="2"/>
        </w:rPr>
      </w:pPr>
      <w:r>
        <w:rPr>
          <w:rFonts w:hint="eastAsia" w:cs="Times New Roman"/>
          <w:kern w:val="2"/>
        </w:rPr>
        <w:t>根据国际电联</w:t>
      </w:r>
      <w:r>
        <w:rPr>
          <w:rFonts w:cs="Times New Roman"/>
          <w:kern w:val="2"/>
        </w:rPr>
        <w:t>ITU-R S.1432-1</w:t>
      </w:r>
      <w:r>
        <w:rPr>
          <w:rFonts w:hint="eastAsia" w:cs="Times New Roman"/>
          <w:kern w:val="2"/>
        </w:rPr>
        <w:t>建议书，在卫星地球站（含卫星测控站、卫星监测站）工作频段及其相邻频段，干扰信号限值为晴空条件下卫星地球站接收系统噪声功率减</w:t>
      </w:r>
      <w:r>
        <w:rPr>
          <w:rFonts w:cs="Times New Roman"/>
          <w:kern w:val="2"/>
        </w:rPr>
        <w:t>12dB</w:t>
      </w:r>
      <w:r>
        <w:rPr>
          <w:rFonts w:hint="eastAsia" w:cs="Times New Roman"/>
          <w:kern w:val="2"/>
        </w:rPr>
        <w:t>，超过该限值的干扰信号将可能对卫星地球站造成有害干扰。</w:t>
      </w:r>
    </w:p>
    <w:p>
      <w:pPr>
        <w:widowControl w:val="0"/>
        <w:spacing w:line="360" w:lineRule="auto"/>
        <w:ind w:firstLine="480" w:firstLineChars="200"/>
        <w:jc w:val="both"/>
        <w:rPr>
          <w:rFonts w:cs="Times New Roman"/>
          <w:kern w:val="2"/>
        </w:rPr>
      </w:pPr>
      <w:r>
        <w:rPr>
          <w:rFonts w:hint="eastAsia" w:cs="Times New Roman"/>
          <w:kern w:val="2"/>
        </w:rPr>
        <w:t>根据国际电联</w:t>
      </w:r>
      <w:r>
        <w:rPr>
          <w:rFonts w:cs="Times New Roman"/>
          <w:kern w:val="2"/>
        </w:rPr>
        <w:t>ITU-R S.2199-0</w:t>
      </w:r>
      <w:r>
        <w:rPr>
          <w:rFonts w:hint="eastAsia" w:cs="Times New Roman"/>
          <w:kern w:val="2"/>
        </w:rPr>
        <w:t>报告，当卫星地球站接收到的干扰信号总功率超过</w:t>
      </w:r>
      <w:r>
        <w:rPr>
          <w:rFonts w:cs="Times New Roman"/>
          <w:kern w:val="2"/>
        </w:rPr>
        <w:t>-60dBm</w:t>
      </w:r>
      <w:r>
        <w:rPr>
          <w:rFonts w:hint="eastAsia" w:cs="Times New Roman"/>
          <w:kern w:val="2"/>
        </w:rPr>
        <w:t>时，将产生饱和干扰，导致卫星地球站无法正常工作。</w:t>
      </w:r>
    </w:p>
    <w:p>
      <w:pPr>
        <w:widowControl w:val="0"/>
        <w:spacing w:line="360" w:lineRule="auto"/>
        <w:ind w:firstLine="480" w:firstLineChars="200"/>
        <w:jc w:val="both"/>
        <w:rPr>
          <w:rFonts w:cs="Times New Roman"/>
          <w:kern w:val="2"/>
        </w:rPr>
      </w:pPr>
      <w:r>
        <w:rPr>
          <w:rFonts w:cs="Times New Roman"/>
          <w:kern w:val="2"/>
        </w:rPr>
        <w:t xml:space="preserve">1. </w:t>
      </w:r>
      <w:r>
        <w:rPr>
          <w:rFonts w:hint="eastAsia" w:cs="Times New Roman"/>
          <w:kern w:val="2"/>
        </w:rPr>
        <w:t>干扰协调区</w:t>
      </w:r>
    </w:p>
    <w:p>
      <w:pPr>
        <w:widowControl w:val="0"/>
        <w:spacing w:line="360" w:lineRule="auto"/>
        <w:ind w:firstLine="480" w:firstLineChars="200"/>
        <w:jc w:val="both"/>
        <w:rPr>
          <w:rFonts w:cs="Times New Roman"/>
          <w:kern w:val="2"/>
        </w:rPr>
      </w:pPr>
      <w:r>
        <w:rPr>
          <w:rFonts w:hint="eastAsia" w:cs="Times New Roman"/>
          <w:kern w:val="2"/>
        </w:rPr>
        <w:t>干扰协调区是指以卫星地球站为中心一定范围内的地理区域，在此区域内设置、使用</w:t>
      </w:r>
      <w:r>
        <w:rPr>
          <w:rFonts w:cs="Times New Roman"/>
          <w:kern w:val="2"/>
        </w:rPr>
        <w:t>3300</w:t>
      </w:r>
      <w:r>
        <w:rPr>
          <w:rFonts w:hint="eastAsia" w:cs="Times New Roman"/>
          <w:kern w:val="2"/>
        </w:rPr>
        <w:t>－</w:t>
      </w:r>
      <w:r>
        <w:rPr>
          <w:rFonts w:cs="Times New Roman"/>
          <w:kern w:val="2"/>
        </w:rPr>
        <w:t>3600</w:t>
      </w:r>
      <w:r>
        <w:rPr>
          <w:rFonts w:hint="eastAsia" w:cs="Times New Roman"/>
          <w:kern w:val="2"/>
        </w:rPr>
        <w:t>和</w:t>
      </w:r>
      <w:r>
        <w:rPr>
          <w:rFonts w:cs="Times New Roman"/>
          <w:kern w:val="2"/>
        </w:rPr>
        <w:t>4800</w:t>
      </w:r>
      <w:r>
        <w:rPr>
          <w:rFonts w:hint="eastAsia" w:cs="Times New Roman"/>
          <w:kern w:val="2"/>
        </w:rPr>
        <w:t>－</w:t>
      </w:r>
      <w:r>
        <w:rPr>
          <w:rFonts w:cs="Times New Roman"/>
          <w:kern w:val="2"/>
        </w:rPr>
        <w:t>5000MHz</w:t>
      </w:r>
      <w:r>
        <w:rPr>
          <w:rFonts w:hint="eastAsia" w:cs="Times New Roman"/>
          <w:kern w:val="2"/>
        </w:rPr>
        <w:t>频段的</w:t>
      </w:r>
      <w:r>
        <w:rPr>
          <w:rFonts w:cs="Times New Roman"/>
          <w:kern w:val="2"/>
        </w:rPr>
        <w:t>5G</w:t>
      </w:r>
      <w:r>
        <w:rPr>
          <w:rFonts w:hint="eastAsia" w:cs="Times New Roman"/>
          <w:kern w:val="2"/>
        </w:rPr>
        <w:t>基站，应与卫星地球站进行干扰协调，以避免对合法使用的卫星地球站造成有害干扰。</w:t>
      </w:r>
    </w:p>
    <w:p>
      <w:pPr>
        <w:widowControl w:val="0"/>
        <w:spacing w:line="360" w:lineRule="auto"/>
        <w:ind w:firstLine="480" w:firstLineChars="200"/>
        <w:jc w:val="both"/>
        <w:rPr>
          <w:rFonts w:cs="Times New Roman"/>
          <w:kern w:val="2"/>
        </w:rPr>
      </w:pPr>
      <w:r>
        <w:rPr>
          <w:rFonts w:hint="eastAsia" w:cs="Times New Roman"/>
          <w:kern w:val="2"/>
        </w:rPr>
        <w:t>实际中应根据当地地形地貌等特性和实际测试确定干扰协调区域。根据理论计算，原则上干扰协调区的范围如下：</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频段的卫星地球站，工作在相同频段内的室外</w:t>
      </w:r>
      <w:r>
        <w:rPr>
          <w:rFonts w:cs="Times New Roman"/>
          <w:kern w:val="2"/>
        </w:rPr>
        <w:t>5G</w:t>
      </w:r>
      <w:r>
        <w:rPr>
          <w:rFonts w:hint="eastAsia" w:cs="Times New Roman"/>
          <w:kern w:val="2"/>
        </w:rPr>
        <w:t>基站的协调区为以卫星地球站为中心、半径</w:t>
      </w:r>
      <w:r>
        <w:rPr>
          <w:rFonts w:cs="Times New Roman"/>
          <w:kern w:val="2"/>
        </w:rPr>
        <w:t>42.5</w:t>
      </w:r>
      <w:r>
        <w:rPr>
          <w:rFonts w:hint="eastAsia" w:cs="Times New Roman"/>
          <w:kern w:val="2"/>
        </w:rPr>
        <w:t>公里的圆形区域；工作在相同频段内的室内</w:t>
      </w:r>
      <w:r>
        <w:rPr>
          <w:rFonts w:cs="Times New Roman"/>
          <w:kern w:val="2"/>
        </w:rPr>
        <w:t>5G</w:t>
      </w:r>
      <w:r>
        <w:rPr>
          <w:rFonts w:hint="eastAsia" w:cs="Times New Roman"/>
          <w:kern w:val="2"/>
        </w:rPr>
        <w:t>基站的协调区为以卫星地球站为中心、半径</w:t>
      </w:r>
      <w:r>
        <w:rPr>
          <w:rFonts w:cs="Times New Roman"/>
          <w:kern w:val="2"/>
        </w:rPr>
        <w:t>1</w:t>
      </w:r>
      <w:r>
        <w:rPr>
          <w:rFonts w:hint="eastAsia" w:cs="Times New Roman"/>
          <w:kern w:val="2"/>
        </w:rPr>
        <w:t>公里的圆形区域；</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3600</w:t>
      </w:r>
      <w:r>
        <w:rPr>
          <w:rFonts w:hint="eastAsia" w:cs="Times New Roman"/>
          <w:kern w:val="2"/>
        </w:rPr>
        <w:t>－</w:t>
      </w:r>
      <w:r>
        <w:rPr>
          <w:rFonts w:cs="Times New Roman"/>
          <w:kern w:val="2"/>
        </w:rPr>
        <w:t>3700MHz</w:t>
      </w:r>
      <w:r>
        <w:rPr>
          <w:rFonts w:hint="eastAsia" w:cs="Times New Roman"/>
          <w:kern w:val="2"/>
        </w:rPr>
        <w:t>频段的卫星地球站，工作在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频段内的室外</w:t>
      </w:r>
      <w:r>
        <w:rPr>
          <w:rFonts w:cs="Times New Roman"/>
          <w:kern w:val="2"/>
        </w:rPr>
        <w:t>5G</w:t>
      </w:r>
      <w:r>
        <w:rPr>
          <w:rFonts w:hint="eastAsia" w:cs="Times New Roman"/>
          <w:kern w:val="2"/>
        </w:rPr>
        <w:t>基站的协调区为以卫星地球站为中心、半径</w:t>
      </w:r>
      <w:r>
        <w:rPr>
          <w:rFonts w:cs="Times New Roman"/>
          <w:kern w:val="2"/>
        </w:rPr>
        <w:t>4</w:t>
      </w:r>
      <w:r>
        <w:rPr>
          <w:rFonts w:hint="eastAsia" w:cs="Times New Roman"/>
          <w:kern w:val="2"/>
        </w:rPr>
        <w:t>公里的圆形区域；工作在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频段内的室内</w:t>
      </w:r>
      <w:r>
        <w:rPr>
          <w:rFonts w:cs="Times New Roman"/>
          <w:kern w:val="2"/>
        </w:rPr>
        <w:t>5G</w:t>
      </w:r>
      <w:r>
        <w:rPr>
          <w:rFonts w:hint="eastAsia" w:cs="Times New Roman"/>
          <w:kern w:val="2"/>
        </w:rPr>
        <w:t>基站的协调区为以卫星地球站为中心、半径</w:t>
      </w:r>
      <w:r>
        <w:rPr>
          <w:rFonts w:cs="Times New Roman"/>
          <w:kern w:val="2"/>
        </w:rPr>
        <w:t>50</w:t>
      </w:r>
      <w:r>
        <w:rPr>
          <w:rFonts w:hint="eastAsia" w:cs="Times New Roman"/>
          <w:kern w:val="2"/>
        </w:rPr>
        <w:t>米的圆形区域；</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3700</w:t>
      </w:r>
      <w:r>
        <w:rPr>
          <w:rFonts w:hint="eastAsia" w:cs="Times New Roman"/>
          <w:kern w:val="2"/>
        </w:rPr>
        <w:t>－</w:t>
      </w:r>
      <w:r>
        <w:rPr>
          <w:rFonts w:cs="Times New Roman"/>
          <w:kern w:val="2"/>
        </w:rPr>
        <w:t>4200MHz</w:t>
      </w:r>
      <w:r>
        <w:rPr>
          <w:rFonts w:hint="eastAsia" w:cs="Times New Roman"/>
          <w:kern w:val="2"/>
        </w:rPr>
        <w:t>频段的卫星地球站，如果卫星地球站已采用滤波和抗饱和措施且指标满足附件</w:t>
      </w:r>
      <w:r>
        <w:rPr>
          <w:rFonts w:cs="Times New Roman"/>
          <w:kern w:val="2"/>
        </w:rPr>
        <w:t>4</w:t>
      </w:r>
      <w:r>
        <w:rPr>
          <w:rFonts w:hint="eastAsia" w:cs="Times New Roman"/>
          <w:kern w:val="2"/>
        </w:rPr>
        <w:t>的要求，工作在</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频段内的室外</w:t>
      </w:r>
      <w:r>
        <w:rPr>
          <w:rFonts w:cs="Times New Roman"/>
          <w:kern w:val="2"/>
        </w:rPr>
        <w:t>5G</w:t>
      </w:r>
      <w:r>
        <w:rPr>
          <w:rFonts w:hint="eastAsia" w:cs="Times New Roman"/>
          <w:kern w:val="2"/>
        </w:rPr>
        <w:t>基站的协调区可减小为以卫星地球站为中心、半径</w:t>
      </w:r>
      <w:r>
        <w:rPr>
          <w:rFonts w:cs="Times New Roman"/>
          <w:kern w:val="2"/>
        </w:rPr>
        <w:t>100</w:t>
      </w:r>
      <w:r>
        <w:rPr>
          <w:rFonts w:hint="eastAsia" w:cs="Times New Roman"/>
          <w:kern w:val="2"/>
        </w:rPr>
        <w:t>米的圆形区域，否则协调区为以卫星地球站为中心、半径</w:t>
      </w:r>
      <w:r>
        <w:rPr>
          <w:rFonts w:cs="Times New Roman"/>
          <w:kern w:val="2"/>
        </w:rPr>
        <w:t>2</w:t>
      </w:r>
      <w:r>
        <w:rPr>
          <w:rFonts w:hint="eastAsia" w:cs="Times New Roman"/>
          <w:kern w:val="2"/>
        </w:rPr>
        <w:t>公里的圆形区域；</w:t>
      </w:r>
    </w:p>
    <w:p>
      <w:pPr>
        <w:widowControl w:val="0"/>
        <w:spacing w:line="360" w:lineRule="auto"/>
        <w:ind w:firstLine="480" w:firstLineChars="200"/>
        <w:jc w:val="both"/>
        <w:rPr>
          <w:rFonts w:cs="Times New Roman"/>
          <w:kern w:val="2"/>
        </w:rPr>
      </w:pPr>
      <w:r>
        <w:rPr>
          <w:rFonts w:hint="eastAsia" w:cs="Times New Roman"/>
          <w:kern w:val="2"/>
        </w:rPr>
        <w:t>对于工作在</w:t>
      </w:r>
      <w:r>
        <w:rPr>
          <w:rFonts w:cs="Times New Roman"/>
          <w:kern w:val="2"/>
        </w:rPr>
        <w:t>4500</w:t>
      </w:r>
      <w:r>
        <w:rPr>
          <w:rFonts w:hint="eastAsia" w:cs="Times New Roman"/>
          <w:kern w:val="2"/>
        </w:rPr>
        <w:t>－</w:t>
      </w:r>
      <w:r>
        <w:rPr>
          <w:rFonts w:cs="Times New Roman"/>
          <w:kern w:val="2"/>
        </w:rPr>
        <w:t>4800MHz</w:t>
      </w:r>
      <w:r>
        <w:rPr>
          <w:rFonts w:hint="eastAsia" w:cs="Times New Roman"/>
          <w:kern w:val="2"/>
        </w:rPr>
        <w:t>频段的卫星地球站，工作在</w:t>
      </w:r>
      <w:r>
        <w:rPr>
          <w:rFonts w:cs="Times New Roman"/>
          <w:kern w:val="2"/>
        </w:rPr>
        <w:t>4800</w:t>
      </w:r>
      <w:r>
        <w:rPr>
          <w:rFonts w:hint="eastAsia" w:cs="Times New Roman"/>
          <w:kern w:val="2"/>
        </w:rPr>
        <w:t>－</w:t>
      </w:r>
      <w:r>
        <w:rPr>
          <w:rFonts w:cs="Times New Roman"/>
          <w:kern w:val="2"/>
        </w:rPr>
        <w:t>4900MHz</w:t>
      </w:r>
      <w:r>
        <w:rPr>
          <w:rFonts w:hint="eastAsia" w:cs="Times New Roman"/>
          <w:kern w:val="2"/>
        </w:rPr>
        <w:t>频段内的室外</w:t>
      </w:r>
      <w:r>
        <w:rPr>
          <w:rFonts w:cs="Times New Roman"/>
          <w:kern w:val="2"/>
        </w:rPr>
        <w:t>5G</w:t>
      </w:r>
      <w:r>
        <w:rPr>
          <w:rFonts w:hint="eastAsia" w:cs="Times New Roman"/>
          <w:kern w:val="2"/>
        </w:rPr>
        <w:t>基站的协调区为以卫星地球站为中心、半径</w:t>
      </w:r>
      <w:r>
        <w:rPr>
          <w:rFonts w:cs="Times New Roman"/>
          <w:kern w:val="2"/>
        </w:rPr>
        <w:t>4</w:t>
      </w:r>
      <w:r>
        <w:rPr>
          <w:rFonts w:hint="eastAsia" w:cs="Times New Roman"/>
          <w:kern w:val="2"/>
        </w:rPr>
        <w:t>公里的圆形区域；如果上述卫星地球站已采用滤波和抗饱和措施且指标满足附件</w:t>
      </w:r>
      <w:r>
        <w:rPr>
          <w:rFonts w:cs="Times New Roman"/>
          <w:kern w:val="2"/>
        </w:rPr>
        <w:t>4</w:t>
      </w:r>
      <w:r>
        <w:rPr>
          <w:rFonts w:hint="eastAsia" w:cs="Times New Roman"/>
          <w:kern w:val="2"/>
        </w:rPr>
        <w:t>的要求，工作在</w:t>
      </w:r>
      <w:r>
        <w:rPr>
          <w:rFonts w:cs="Times New Roman"/>
          <w:kern w:val="2"/>
        </w:rPr>
        <w:t>4900</w:t>
      </w:r>
      <w:r>
        <w:rPr>
          <w:rFonts w:hint="eastAsia" w:cs="Times New Roman"/>
          <w:kern w:val="2"/>
        </w:rPr>
        <w:t>－</w:t>
      </w:r>
      <w:r>
        <w:rPr>
          <w:rFonts w:cs="Times New Roman"/>
          <w:kern w:val="2"/>
        </w:rPr>
        <w:t>5000MHz</w:t>
      </w:r>
      <w:r>
        <w:rPr>
          <w:rFonts w:hint="eastAsia" w:cs="Times New Roman"/>
          <w:kern w:val="2"/>
        </w:rPr>
        <w:t>频段内的室外</w:t>
      </w:r>
      <w:r>
        <w:rPr>
          <w:rFonts w:cs="Times New Roman"/>
          <w:kern w:val="2"/>
        </w:rPr>
        <w:t>5G</w:t>
      </w:r>
      <w:r>
        <w:rPr>
          <w:rFonts w:hint="eastAsia" w:cs="Times New Roman"/>
          <w:kern w:val="2"/>
        </w:rPr>
        <w:t>基站的协调区可减小为以卫星地球站为中心、半径</w:t>
      </w:r>
      <w:r>
        <w:rPr>
          <w:rFonts w:cs="Times New Roman"/>
          <w:kern w:val="2"/>
        </w:rPr>
        <w:t>100</w:t>
      </w:r>
      <w:r>
        <w:rPr>
          <w:rFonts w:hint="eastAsia" w:cs="Times New Roman"/>
          <w:kern w:val="2"/>
        </w:rPr>
        <w:t>米的圆形区域，否则协调区为以卫星地球站为中心、半径</w:t>
      </w:r>
      <w:r>
        <w:rPr>
          <w:rFonts w:cs="Times New Roman"/>
          <w:kern w:val="2"/>
        </w:rPr>
        <w:t>2</w:t>
      </w:r>
      <w:r>
        <w:rPr>
          <w:rFonts w:hint="eastAsia" w:cs="Times New Roman"/>
          <w:kern w:val="2"/>
        </w:rPr>
        <w:t>公里的圆形区域。</w:t>
      </w:r>
    </w:p>
    <w:p>
      <w:pPr>
        <w:widowControl w:val="0"/>
        <w:spacing w:line="360" w:lineRule="auto"/>
        <w:ind w:firstLine="480" w:firstLineChars="200"/>
        <w:jc w:val="both"/>
        <w:rPr>
          <w:rFonts w:cs="Times New Roman"/>
          <w:kern w:val="2"/>
        </w:rPr>
      </w:pPr>
      <w:r>
        <w:rPr>
          <w:rFonts w:cs="Times New Roman"/>
          <w:kern w:val="2"/>
        </w:rPr>
        <w:t>2.</w:t>
      </w:r>
      <w:r>
        <w:rPr>
          <w:rFonts w:hint="eastAsia" w:cs="Times New Roman"/>
          <w:kern w:val="2"/>
        </w:rPr>
        <w:t>干扰协调程序</w:t>
      </w:r>
    </w:p>
    <w:p>
      <w:pPr>
        <w:widowControl w:val="0"/>
        <w:spacing w:line="360" w:lineRule="auto"/>
        <w:ind w:firstLine="480" w:firstLineChars="200"/>
        <w:jc w:val="both"/>
        <w:rPr>
          <w:rFonts w:cs="Times New Roman"/>
          <w:kern w:val="2"/>
        </w:rPr>
      </w:pPr>
      <w:r>
        <w:rPr>
          <w:rFonts w:hint="eastAsia" w:cs="Times New Roman"/>
          <w:kern w:val="2"/>
        </w:rPr>
        <w:t>相关单位在获得中频段</w:t>
      </w:r>
      <w:r>
        <w:rPr>
          <w:rFonts w:cs="Times New Roman"/>
          <w:kern w:val="2"/>
        </w:rPr>
        <w:t>5G</w:t>
      </w:r>
      <w:r>
        <w:rPr>
          <w:rFonts w:hint="eastAsia" w:cs="Times New Roman"/>
          <w:kern w:val="2"/>
        </w:rPr>
        <w:t>频率使用许可证（或批准文件）后，应及时向当地无线电管理机构了解需要干扰保护的卫星地球站信息。各地无线电管理机构应及时向相关单位提供本地需要干扰保护的已设卫星地球站及已申请设置卫星地球站清单并及时更新。相关单位在申请设置、使用</w:t>
      </w:r>
      <w:r>
        <w:rPr>
          <w:rFonts w:cs="Times New Roman"/>
          <w:kern w:val="2"/>
        </w:rPr>
        <w:t>5G</w:t>
      </w:r>
      <w:r>
        <w:rPr>
          <w:rFonts w:hint="eastAsia" w:cs="Times New Roman"/>
          <w:kern w:val="2"/>
        </w:rPr>
        <w:t>基站前，应主动发起与卫星地球站使用单位的干扰协调，并将协调请求及时报送当地无线电管理机构。收到协调请求后，设置、使用卫星地球站的单位和用户应在</w:t>
      </w:r>
      <w:r>
        <w:rPr>
          <w:rFonts w:cs="Times New Roman"/>
          <w:kern w:val="2"/>
        </w:rPr>
        <w:t>15</w:t>
      </w:r>
      <w:r>
        <w:rPr>
          <w:rFonts w:hint="eastAsia" w:cs="Times New Roman"/>
          <w:kern w:val="2"/>
        </w:rPr>
        <w:t>个工作日内予以确认。如在</w:t>
      </w:r>
      <w:r>
        <w:rPr>
          <w:rFonts w:cs="Times New Roman"/>
          <w:kern w:val="2"/>
        </w:rPr>
        <w:t>2</w:t>
      </w:r>
      <w:r>
        <w:rPr>
          <w:rFonts w:hint="eastAsia" w:cs="Times New Roman"/>
          <w:kern w:val="2"/>
        </w:rPr>
        <w:t>个月内双方就协调问题未能取得一致意见，可以向地方无线电管理机构提出协助请求。待完成协调工作后，相关单位可向无线电管理机构提出</w:t>
      </w:r>
      <w:r>
        <w:rPr>
          <w:rFonts w:cs="Times New Roman"/>
          <w:kern w:val="2"/>
        </w:rPr>
        <w:t>5G</w:t>
      </w:r>
      <w:r>
        <w:rPr>
          <w:rFonts w:hint="eastAsia" w:cs="Times New Roman"/>
          <w:kern w:val="2"/>
        </w:rPr>
        <w:t>基站设台许可申请。</w:t>
      </w:r>
    </w:p>
    <w:p>
      <w:pPr>
        <w:widowControl w:val="0"/>
        <w:spacing w:line="360" w:lineRule="auto"/>
        <w:ind w:firstLine="480" w:firstLineChars="200"/>
        <w:jc w:val="both"/>
        <w:rPr>
          <w:rFonts w:cs="Times New Roman"/>
          <w:kern w:val="2"/>
        </w:rPr>
      </w:pPr>
      <w:r>
        <w:rPr>
          <w:rFonts w:hint="eastAsia" w:cs="Times New Roman"/>
          <w:kern w:val="2"/>
        </w:rPr>
        <w:t>若干扰协调区涉及其他省份，当地无线电管理机构应向相关省、自治区、直辖市无线电管理机构通报情况。</w:t>
      </w:r>
    </w:p>
    <w:p>
      <w:pPr>
        <w:widowControl w:val="0"/>
        <w:spacing w:line="360" w:lineRule="auto"/>
        <w:ind w:firstLine="480" w:firstLineChars="200"/>
        <w:jc w:val="both"/>
        <w:rPr>
          <w:rFonts w:cs="Times New Roman"/>
          <w:kern w:val="2"/>
        </w:rPr>
      </w:pPr>
      <w:r>
        <w:rPr>
          <w:rFonts w:hint="eastAsia" w:cs="Times New Roman"/>
          <w:kern w:val="2"/>
        </w:rPr>
        <w:t>按照《国家无线电办公室关于开展</w:t>
      </w:r>
      <w:r>
        <w:rPr>
          <w:rFonts w:cs="Times New Roman"/>
          <w:kern w:val="2"/>
        </w:rPr>
        <w:t>3400</w:t>
      </w:r>
      <w:r>
        <w:rPr>
          <w:rFonts w:hint="eastAsia" w:cs="Times New Roman"/>
          <w:kern w:val="2"/>
        </w:rPr>
        <w:t>－</w:t>
      </w:r>
      <w:r>
        <w:rPr>
          <w:rFonts w:cs="Times New Roman"/>
          <w:kern w:val="2"/>
        </w:rPr>
        <w:t>4200MHz</w:t>
      </w:r>
      <w:r>
        <w:rPr>
          <w:rFonts w:hint="eastAsia" w:cs="Times New Roman"/>
          <w:kern w:val="2"/>
        </w:rPr>
        <w:t>和</w:t>
      </w:r>
      <w:r>
        <w:rPr>
          <w:rFonts w:cs="Times New Roman"/>
          <w:kern w:val="2"/>
        </w:rPr>
        <w:t>4500</w:t>
      </w:r>
      <w:r>
        <w:rPr>
          <w:rFonts w:hint="eastAsia" w:cs="Times New Roman"/>
          <w:kern w:val="2"/>
        </w:rPr>
        <w:t>－</w:t>
      </w:r>
      <w:r>
        <w:rPr>
          <w:rFonts w:cs="Times New Roman"/>
          <w:kern w:val="2"/>
        </w:rPr>
        <w:t>5000MHz</w:t>
      </w:r>
      <w:r>
        <w:rPr>
          <w:rFonts w:hint="eastAsia" w:cs="Times New Roman"/>
          <w:kern w:val="2"/>
        </w:rPr>
        <w:t>频段卫星地球站等无线电台（站）清理核查工作的通知》（国无办〔</w:t>
      </w:r>
      <w:r>
        <w:rPr>
          <w:rFonts w:cs="Times New Roman"/>
          <w:kern w:val="2"/>
        </w:rPr>
        <w:t>2018</w:t>
      </w:r>
      <w:r>
        <w:rPr>
          <w:rFonts w:hint="eastAsia" w:cs="Times New Roman"/>
          <w:kern w:val="2"/>
        </w:rPr>
        <w:t>〕</w:t>
      </w:r>
      <w:r>
        <w:rPr>
          <w:rFonts w:cs="Times New Roman"/>
          <w:kern w:val="2"/>
        </w:rPr>
        <w:t>4</w:t>
      </w:r>
      <w:r>
        <w:rPr>
          <w:rFonts w:hint="eastAsia" w:cs="Times New Roman"/>
          <w:kern w:val="2"/>
        </w:rPr>
        <w:t>号）要求报送并经核实的地球站，依法享有免受有害干扰的权利。为避免干扰上述卫星地球站而采取的各种措施所产生的费用，原则上由</w:t>
      </w:r>
      <w:r>
        <w:rPr>
          <w:rFonts w:cs="Times New Roman"/>
          <w:kern w:val="2"/>
        </w:rPr>
        <w:t>3400</w:t>
      </w:r>
      <w:r>
        <w:rPr>
          <w:rFonts w:hint="eastAsia" w:cs="Times New Roman"/>
          <w:kern w:val="2"/>
        </w:rPr>
        <w:t>－</w:t>
      </w:r>
      <w:r>
        <w:rPr>
          <w:rFonts w:cs="Times New Roman"/>
          <w:kern w:val="2"/>
        </w:rPr>
        <w:t>3600MHz</w:t>
      </w:r>
      <w:r>
        <w:rPr>
          <w:rFonts w:hint="eastAsia" w:cs="Times New Roman"/>
          <w:kern w:val="2"/>
        </w:rPr>
        <w:t>频段内</w:t>
      </w:r>
      <w:r>
        <w:rPr>
          <w:rFonts w:cs="Times New Roman"/>
          <w:kern w:val="2"/>
        </w:rPr>
        <w:t>5G</w:t>
      </w:r>
      <w:r>
        <w:rPr>
          <w:rFonts w:hint="eastAsia" w:cs="Times New Roman"/>
          <w:kern w:val="2"/>
        </w:rPr>
        <w:t>基站设置、使用单位承担。</w:t>
      </w:r>
    </w:p>
    <w:p>
      <w:pPr>
        <w:widowControl w:val="0"/>
        <w:spacing w:line="360" w:lineRule="auto"/>
        <w:ind w:firstLine="480" w:firstLineChars="200"/>
        <w:jc w:val="both"/>
        <w:rPr>
          <w:rFonts w:cs="Times New Roman"/>
          <w:kern w:val="2"/>
        </w:rPr>
      </w:pPr>
      <w:r>
        <w:rPr>
          <w:rFonts w:hint="eastAsia" w:cs="Times New Roman"/>
          <w:kern w:val="2"/>
        </w:rPr>
        <w:t>按照后用让先用的原则，在已开通</w:t>
      </w:r>
      <w:r>
        <w:rPr>
          <w:rFonts w:cs="Times New Roman"/>
          <w:kern w:val="2"/>
        </w:rPr>
        <w:t>5G</w:t>
      </w:r>
      <w:r>
        <w:rPr>
          <w:rFonts w:hint="eastAsia" w:cs="Times New Roman"/>
          <w:kern w:val="2"/>
        </w:rPr>
        <w:t>系统的城市，新申请设置、使用卫星地球站的单位应与干扰协调区内已取得台站执照的已建</w:t>
      </w:r>
      <w:r>
        <w:rPr>
          <w:rFonts w:cs="Times New Roman"/>
          <w:kern w:val="2"/>
        </w:rPr>
        <w:t>5G</w:t>
      </w:r>
      <w:r>
        <w:rPr>
          <w:rFonts w:hint="eastAsia" w:cs="Times New Roman"/>
          <w:kern w:val="2"/>
        </w:rPr>
        <w:t>基站完成干扰协调，协调时限要求与卫星地球站发起协调情况相同，必要时可请求无线电管理机构协助。为避免受</w:t>
      </w:r>
      <w:r>
        <w:rPr>
          <w:rFonts w:cs="Times New Roman"/>
          <w:kern w:val="2"/>
        </w:rPr>
        <w:t>5G</w:t>
      </w:r>
      <w:r>
        <w:rPr>
          <w:rFonts w:hint="eastAsia" w:cs="Times New Roman"/>
          <w:kern w:val="2"/>
        </w:rPr>
        <w:t>基站干扰而采取的各种措施所产生的费用，原则上由地球站设置、使用单位承担。</w:t>
      </w:r>
    </w:p>
    <w:p>
      <w:pPr>
        <w:widowControl w:val="0"/>
        <w:spacing w:line="360" w:lineRule="auto"/>
        <w:ind w:firstLine="480" w:firstLineChars="200"/>
        <w:jc w:val="both"/>
        <w:rPr>
          <w:rFonts w:cs="Times New Roman"/>
          <w:kern w:val="2"/>
        </w:rPr>
      </w:pPr>
      <w:r>
        <w:rPr>
          <w:rFonts w:cs="Times New Roman"/>
          <w:kern w:val="2"/>
        </w:rPr>
        <w:t>3.</w:t>
      </w:r>
      <w:r>
        <w:rPr>
          <w:rFonts w:hint="eastAsia" w:cs="Times New Roman"/>
          <w:kern w:val="2"/>
        </w:rPr>
        <w:t>干扰缓解工程措施</w:t>
      </w:r>
    </w:p>
    <w:p>
      <w:pPr>
        <w:widowControl w:val="0"/>
        <w:spacing w:line="360" w:lineRule="auto"/>
        <w:ind w:firstLine="480" w:firstLineChars="200"/>
        <w:jc w:val="both"/>
        <w:rPr>
          <w:rFonts w:cs="Times New Roman"/>
          <w:kern w:val="2"/>
        </w:rPr>
      </w:pPr>
      <w:r>
        <w:rPr>
          <w:rFonts w:hint="eastAsia" w:cs="Times New Roman"/>
          <w:kern w:val="2"/>
        </w:rPr>
        <w:t>对于依法设置的</w:t>
      </w:r>
      <w:r>
        <w:rPr>
          <w:rFonts w:cs="Times New Roman"/>
          <w:kern w:val="2"/>
        </w:rPr>
        <w:t>3400</w:t>
      </w:r>
      <w:r>
        <w:rPr>
          <w:rFonts w:hint="eastAsia" w:cs="Times New Roman"/>
          <w:kern w:val="2"/>
        </w:rPr>
        <w:t>－</w:t>
      </w:r>
      <w:r>
        <w:rPr>
          <w:rFonts w:cs="Times New Roman"/>
          <w:kern w:val="2"/>
        </w:rPr>
        <w:t>4200MHz</w:t>
      </w:r>
      <w:r>
        <w:rPr>
          <w:rFonts w:hint="eastAsia" w:cs="Times New Roman"/>
          <w:kern w:val="2"/>
        </w:rPr>
        <w:t>频段范围内的卫星地球站，如果</w:t>
      </w:r>
      <w:r>
        <w:rPr>
          <w:rFonts w:cs="Times New Roman"/>
          <w:kern w:val="2"/>
        </w:rPr>
        <w:t>5G</w:t>
      </w:r>
      <w:r>
        <w:rPr>
          <w:rFonts w:hint="eastAsia" w:cs="Times New Roman"/>
          <w:kern w:val="2"/>
        </w:rPr>
        <w:t>基站发射可能会对其接收产生同频干扰、邻频干扰和减敏干扰，建议采取为地球站加装滤波器或更换高频头、地域隔离、加装屏蔽网、降低</w:t>
      </w:r>
      <w:r>
        <w:rPr>
          <w:rFonts w:cs="Times New Roman"/>
          <w:kern w:val="2"/>
        </w:rPr>
        <w:t>5G</w:t>
      </w:r>
      <w:r>
        <w:rPr>
          <w:rFonts w:hint="eastAsia" w:cs="Times New Roman"/>
          <w:kern w:val="2"/>
        </w:rPr>
        <w:t>基站发射功率及调整</w:t>
      </w:r>
      <w:r>
        <w:rPr>
          <w:rFonts w:cs="Times New Roman"/>
          <w:kern w:val="2"/>
        </w:rPr>
        <w:t>5G</w:t>
      </w:r>
      <w:r>
        <w:rPr>
          <w:rFonts w:hint="eastAsia" w:cs="Times New Roman"/>
          <w:kern w:val="2"/>
        </w:rPr>
        <w:t>基站天线最大辐射方向等综合措施缓解或消除干扰。</w:t>
      </w:r>
    </w:p>
    <w:p>
      <w:pPr>
        <w:pStyle w:val="3"/>
      </w:pPr>
      <w:bookmarkStart w:id="221" w:name="_Toc56092809"/>
      <w:r>
        <w:t>5G</w:t>
      </w:r>
      <w:r>
        <w:rPr>
          <w:rFonts w:hint="eastAsia"/>
        </w:rPr>
        <w:t>基站与固定业务台（站）干扰</w:t>
      </w:r>
      <w:bookmarkEnd w:id="221"/>
    </w:p>
    <w:p>
      <w:pPr>
        <w:widowControl w:val="0"/>
        <w:spacing w:line="360" w:lineRule="auto"/>
        <w:ind w:firstLine="480" w:firstLineChars="200"/>
        <w:jc w:val="both"/>
        <w:rPr>
          <w:rFonts w:cs="Times New Roman"/>
          <w:kern w:val="2"/>
        </w:rPr>
      </w:pPr>
      <w:r>
        <w:rPr>
          <w:rFonts w:hint="eastAsia" w:cs="Times New Roman"/>
          <w:kern w:val="2"/>
        </w:rPr>
        <w:t>根据国际电联</w:t>
      </w:r>
      <w:r>
        <w:rPr>
          <w:rFonts w:cs="Times New Roman"/>
          <w:kern w:val="2"/>
        </w:rPr>
        <w:t>ITU-R F.758-6</w:t>
      </w:r>
      <w:r>
        <w:rPr>
          <w:rFonts w:hint="eastAsia" w:cs="Times New Roman"/>
          <w:kern w:val="2"/>
        </w:rPr>
        <w:t>建议书，在固定业务台（站）工作频段，干扰信号限值为固定业务台（站）接收系统噪声电平减</w:t>
      </w:r>
      <w:r>
        <w:rPr>
          <w:rFonts w:cs="Times New Roman"/>
          <w:kern w:val="2"/>
        </w:rPr>
        <w:t>10dB</w:t>
      </w:r>
      <w:r>
        <w:rPr>
          <w:rFonts w:hint="eastAsia" w:cs="Times New Roman"/>
          <w:kern w:val="2"/>
        </w:rPr>
        <w:t>，超过该限值的干扰信号可能对固定业务台（站）造成有害干扰。</w:t>
      </w:r>
    </w:p>
    <w:p>
      <w:pPr>
        <w:widowControl w:val="0"/>
        <w:spacing w:line="360" w:lineRule="auto"/>
        <w:ind w:firstLine="480" w:firstLineChars="200"/>
        <w:jc w:val="both"/>
        <w:rPr>
          <w:rFonts w:cs="Times New Roman"/>
          <w:kern w:val="2"/>
        </w:rPr>
      </w:pPr>
      <w:r>
        <w:rPr>
          <w:rFonts w:cs="Times New Roman"/>
          <w:kern w:val="2"/>
        </w:rPr>
        <w:t>1.</w:t>
      </w:r>
      <w:r>
        <w:rPr>
          <w:rFonts w:hint="eastAsia" w:cs="Times New Roman"/>
          <w:kern w:val="2"/>
        </w:rPr>
        <w:t>干扰协调区</w:t>
      </w:r>
    </w:p>
    <w:p>
      <w:pPr>
        <w:widowControl w:val="0"/>
        <w:spacing w:line="360" w:lineRule="auto"/>
        <w:ind w:firstLine="480" w:firstLineChars="200"/>
        <w:jc w:val="both"/>
        <w:rPr>
          <w:rFonts w:cs="Times New Roman"/>
          <w:kern w:val="2"/>
        </w:rPr>
      </w:pPr>
      <w:r>
        <w:rPr>
          <w:rFonts w:cs="Times New Roman"/>
          <w:kern w:val="2"/>
        </w:rPr>
        <w:t>5G</w:t>
      </w:r>
      <w:r>
        <w:rPr>
          <w:rFonts w:hint="eastAsia" w:cs="Times New Roman"/>
          <w:kern w:val="2"/>
        </w:rPr>
        <w:t>基站与固定业务台（站）的干扰协调区是指以固定业务台（站）为中心一定范围内的地理区域，在此区域内使用相同频率的</w:t>
      </w:r>
      <w:r>
        <w:rPr>
          <w:rFonts w:cs="Times New Roman"/>
          <w:kern w:val="2"/>
        </w:rPr>
        <w:t>5G</w:t>
      </w:r>
      <w:r>
        <w:rPr>
          <w:rFonts w:hint="eastAsia" w:cs="Times New Roman"/>
          <w:kern w:val="2"/>
        </w:rPr>
        <w:t>基站可能会对固定业务台（站）产生有害干扰。</w:t>
      </w:r>
    </w:p>
    <w:p>
      <w:pPr>
        <w:widowControl w:val="0"/>
        <w:spacing w:line="360" w:lineRule="auto"/>
        <w:ind w:firstLine="480" w:firstLineChars="200"/>
        <w:jc w:val="both"/>
        <w:rPr>
          <w:rFonts w:cs="Times New Roman"/>
          <w:kern w:val="2"/>
        </w:rPr>
      </w:pPr>
      <w:r>
        <w:rPr>
          <w:rFonts w:hint="eastAsia" w:cs="Times New Roman"/>
          <w:kern w:val="2"/>
        </w:rPr>
        <w:t>原则上干扰协调区为以固定业务台（站）为中心半径</w:t>
      </w:r>
      <w:r>
        <w:rPr>
          <w:rFonts w:cs="Times New Roman"/>
          <w:kern w:val="2"/>
        </w:rPr>
        <w:t>300</w:t>
      </w:r>
      <w:r>
        <w:rPr>
          <w:rFonts w:hint="eastAsia" w:cs="Times New Roman"/>
          <w:kern w:val="2"/>
        </w:rPr>
        <w:t>米的圆形区域；对于微波通信系统，当</w:t>
      </w:r>
      <w:r>
        <w:rPr>
          <w:rFonts w:cs="Times New Roman"/>
          <w:kern w:val="2"/>
        </w:rPr>
        <w:t>5G</w:t>
      </w:r>
      <w:r>
        <w:rPr>
          <w:rFonts w:hint="eastAsia" w:cs="Times New Roman"/>
          <w:kern w:val="2"/>
        </w:rPr>
        <w:t>基站位于微波通信系统最大增益接收方向时，应避免</w:t>
      </w:r>
      <w:r>
        <w:rPr>
          <w:rFonts w:cs="Times New Roman"/>
          <w:kern w:val="2"/>
        </w:rPr>
        <w:t>5G</w:t>
      </w:r>
      <w:r>
        <w:rPr>
          <w:rFonts w:hint="eastAsia" w:cs="Times New Roman"/>
          <w:kern w:val="2"/>
        </w:rPr>
        <w:t>基站的最大增益发射方向正对微波通信系统。</w:t>
      </w:r>
    </w:p>
    <w:p>
      <w:pPr>
        <w:widowControl w:val="0"/>
        <w:spacing w:line="360" w:lineRule="auto"/>
        <w:ind w:firstLine="480" w:firstLineChars="200"/>
        <w:jc w:val="both"/>
        <w:rPr>
          <w:rFonts w:cs="Times New Roman"/>
          <w:kern w:val="2"/>
        </w:rPr>
      </w:pPr>
      <w:r>
        <w:rPr>
          <w:rFonts w:cs="Times New Roman"/>
          <w:kern w:val="2"/>
        </w:rPr>
        <w:t>2.</w:t>
      </w:r>
      <w:r>
        <w:rPr>
          <w:rFonts w:hint="eastAsia" w:cs="Times New Roman"/>
          <w:kern w:val="2"/>
        </w:rPr>
        <w:t>干扰协调程序</w:t>
      </w:r>
    </w:p>
    <w:p>
      <w:pPr>
        <w:widowControl w:val="0"/>
        <w:spacing w:line="360" w:lineRule="auto"/>
        <w:ind w:firstLine="480" w:firstLineChars="200"/>
        <w:jc w:val="both"/>
        <w:rPr>
          <w:rFonts w:cs="Times New Roman"/>
          <w:kern w:val="2"/>
        </w:rPr>
      </w:pPr>
      <w:r>
        <w:rPr>
          <w:rFonts w:hint="eastAsia" w:cs="Times New Roman"/>
          <w:kern w:val="2"/>
        </w:rPr>
        <w:t>相关单位在获得中频段</w:t>
      </w:r>
      <w:r>
        <w:rPr>
          <w:rFonts w:cs="Times New Roman"/>
          <w:kern w:val="2"/>
        </w:rPr>
        <w:t>5G</w:t>
      </w:r>
      <w:r>
        <w:rPr>
          <w:rFonts w:hint="eastAsia" w:cs="Times New Roman"/>
          <w:kern w:val="2"/>
        </w:rPr>
        <w:t>频率使用许可证后，应及时向当地无线电管理机构了解需要干扰保护的固定业务台（站）信息。各地无线电管理机构应及时向相关单位提供本地需要干扰保护的已设固定业务台（站）清单并及时更新。相关单位在申请设置、使用</w:t>
      </w:r>
      <w:r>
        <w:rPr>
          <w:rFonts w:cs="Times New Roman"/>
          <w:kern w:val="2"/>
        </w:rPr>
        <w:t>5G</w:t>
      </w:r>
      <w:r>
        <w:rPr>
          <w:rFonts w:hint="eastAsia" w:cs="Times New Roman"/>
          <w:kern w:val="2"/>
        </w:rPr>
        <w:t>基站前，应主动发起与固定业务台（站）使用单位的干扰协调，并将协调请求及时报送当地无线电管理机构，必要时可请求无线电管理机构协助。若干扰协调区涉及其他省份，当地无线电管理机构应向相关省、自治区、直辖市无线电管理机构通报情况。</w:t>
      </w:r>
    </w:p>
    <w:p>
      <w:pPr>
        <w:widowControl w:val="0"/>
        <w:spacing w:line="360" w:lineRule="auto"/>
        <w:ind w:firstLine="480" w:firstLineChars="200"/>
        <w:jc w:val="both"/>
        <w:rPr>
          <w:rFonts w:cs="Times New Roman"/>
          <w:kern w:val="2"/>
        </w:rPr>
      </w:pPr>
      <w:r>
        <w:rPr>
          <w:rFonts w:hint="eastAsia" w:cs="Times New Roman"/>
          <w:kern w:val="2"/>
        </w:rPr>
        <w:t>根据《工业和信息化部关于第五代移动通信系统使用</w:t>
      </w:r>
      <w:r>
        <w:rPr>
          <w:rFonts w:cs="Times New Roman"/>
          <w:kern w:val="2"/>
        </w:rPr>
        <w:t>3300</w:t>
      </w:r>
      <w:r>
        <w:rPr>
          <w:rFonts w:hint="eastAsia" w:cs="Times New Roman"/>
          <w:kern w:val="2"/>
        </w:rPr>
        <w:t>－</w:t>
      </w:r>
      <w:r>
        <w:rPr>
          <w:rFonts w:cs="Times New Roman"/>
          <w:kern w:val="2"/>
        </w:rPr>
        <w:t>3600MHz</w:t>
      </w:r>
      <w:r>
        <w:rPr>
          <w:rFonts w:hint="eastAsia" w:cs="Times New Roman"/>
          <w:kern w:val="2"/>
        </w:rPr>
        <w:t>和</w:t>
      </w:r>
      <w:r>
        <w:rPr>
          <w:rFonts w:cs="Times New Roman"/>
          <w:kern w:val="2"/>
        </w:rPr>
        <w:t>4800</w:t>
      </w:r>
      <w:r>
        <w:rPr>
          <w:rFonts w:hint="eastAsia" w:cs="Times New Roman"/>
          <w:kern w:val="2"/>
        </w:rPr>
        <w:t>－</w:t>
      </w:r>
      <w:r>
        <w:rPr>
          <w:rFonts w:cs="Times New Roman"/>
          <w:kern w:val="2"/>
        </w:rPr>
        <w:t>5000MHz</w:t>
      </w:r>
      <w:r>
        <w:rPr>
          <w:rFonts w:hint="eastAsia" w:cs="Times New Roman"/>
          <w:kern w:val="2"/>
        </w:rPr>
        <w:t>频段相关事宜的通知》（工信部无〔</w:t>
      </w:r>
      <w:r>
        <w:rPr>
          <w:rFonts w:cs="Times New Roman"/>
          <w:kern w:val="2"/>
        </w:rPr>
        <w:t>2017</w:t>
      </w:r>
      <w:r>
        <w:rPr>
          <w:rFonts w:hint="eastAsia" w:cs="Times New Roman"/>
          <w:kern w:val="2"/>
        </w:rPr>
        <w:t>〕</w:t>
      </w:r>
      <w:r>
        <w:rPr>
          <w:rFonts w:cs="Times New Roman"/>
          <w:kern w:val="2"/>
        </w:rPr>
        <w:t>276</w:t>
      </w:r>
      <w:r>
        <w:rPr>
          <w:rFonts w:hint="eastAsia" w:cs="Times New Roman"/>
          <w:kern w:val="2"/>
        </w:rPr>
        <w:t>号），在</w:t>
      </w:r>
      <w:r>
        <w:rPr>
          <w:rFonts w:cs="Times New Roman"/>
          <w:kern w:val="2"/>
        </w:rPr>
        <w:t>2017</w:t>
      </w:r>
      <w:r>
        <w:rPr>
          <w:rFonts w:hint="eastAsia" w:cs="Times New Roman"/>
          <w:kern w:val="2"/>
        </w:rPr>
        <w:t>年</w:t>
      </w:r>
      <w:r>
        <w:rPr>
          <w:rFonts w:cs="Times New Roman"/>
          <w:kern w:val="2"/>
        </w:rPr>
        <w:t>11</w:t>
      </w:r>
      <w:r>
        <w:rPr>
          <w:rFonts w:hint="eastAsia" w:cs="Times New Roman"/>
          <w:kern w:val="2"/>
        </w:rPr>
        <w:t>月</w:t>
      </w:r>
      <w:r>
        <w:rPr>
          <w:rFonts w:cs="Times New Roman"/>
          <w:kern w:val="2"/>
        </w:rPr>
        <w:t>15</w:t>
      </w:r>
      <w:r>
        <w:rPr>
          <w:rFonts w:hint="eastAsia" w:cs="Times New Roman"/>
          <w:kern w:val="2"/>
        </w:rPr>
        <w:t>日前依法设置的固定业务台（站），依法享有免受有害干扰的权利；为避免干扰采取的各种措施所产生的费用，原则上由相关</w:t>
      </w:r>
      <w:r>
        <w:rPr>
          <w:rFonts w:cs="Times New Roman"/>
          <w:kern w:val="2"/>
        </w:rPr>
        <w:t>5G</w:t>
      </w:r>
      <w:r>
        <w:rPr>
          <w:rFonts w:hint="eastAsia" w:cs="Times New Roman"/>
          <w:kern w:val="2"/>
        </w:rPr>
        <w:t>基站设置、使用单位承担。</w:t>
      </w:r>
    </w:p>
    <w:p>
      <w:pPr>
        <w:widowControl w:val="0"/>
        <w:spacing w:line="360" w:lineRule="auto"/>
        <w:ind w:firstLine="480" w:firstLineChars="200"/>
        <w:jc w:val="both"/>
        <w:rPr>
          <w:rFonts w:cs="Times New Roman"/>
          <w:kern w:val="2"/>
        </w:rPr>
      </w:pPr>
      <w:r>
        <w:rPr>
          <w:rFonts w:cs="Times New Roman"/>
          <w:kern w:val="2"/>
        </w:rPr>
        <w:t>3.</w:t>
      </w:r>
      <w:r>
        <w:rPr>
          <w:rFonts w:hint="eastAsia" w:cs="Times New Roman"/>
          <w:kern w:val="2"/>
        </w:rPr>
        <w:t>干扰缓解工程措施</w:t>
      </w:r>
    </w:p>
    <w:p>
      <w:pPr>
        <w:widowControl w:val="0"/>
        <w:spacing w:line="360" w:lineRule="auto"/>
        <w:ind w:firstLine="480" w:firstLineChars="200"/>
        <w:jc w:val="both"/>
        <w:rPr>
          <w:rFonts w:cs="Times New Roman"/>
          <w:kern w:val="2"/>
        </w:rPr>
      </w:pPr>
      <w:r>
        <w:rPr>
          <w:rFonts w:hint="eastAsia" w:cs="Times New Roman"/>
          <w:kern w:val="2"/>
        </w:rPr>
        <w:t>为保护依法设置的固定业务台（站）免受来自同频段</w:t>
      </w:r>
      <w:r>
        <w:rPr>
          <w:rFonts w:cs="Times New Roman"/>
          <w:kern w:val="2"/>
        </w:rPr>
        <w:t>5G</w:t>
      </w:r>
      <w:r>
        <w:rPr>
          <w:rFonts w:hint="eastAsia" w:cs="Times New Roman"/>
          <w:kern w:val="2"/>
        </w:rPr>
        <w:t>基站的干扰，可采取地域隔离、加装屏蔽网、降低</w:t>
      </w:r>
      <w:r>
        <w:rPr>
          <w:rFonts w:cs="Times New Roman"/>
          <w:kern w:val="2"/>
        </w:rPr>
        <w:t>5G</w:t>
      </w:r>
      <w:r>
        <w:rPr>
          <w:rFonts w:hint="eastAsia" w:cs="Times New Roman"/>
          <w:kern w:val="2"/>
        </w:rPr>
        <w:t>基站发射功率及调整</w:t>
      </w:r>
      <w:r>
        <w:rPr>
          <w:rFonts w:cs="Times New Roman"/>
          <w:kern w:val="2"/>
        </w:rPr>
        <w:t>5G</w:t>
      </w:r>
      <w:r>
        <w:rPr>
          <w:rFonts w:hint="eastAsia" w:cs="Times New Roman"/>
          <w:kern w:val="2"/>
        </w:rPr>
        <w:t>基站天线最大辐射方向等措施予以缓解。</w:t>
      </w:r>
    </w:p>
    <w:p>
      <w:pPr>
        <w:pStyle w:val="3"/>
      </w:pPr>
      <w:bookmarkStart w:id="222" w:name="_Toc56092810"/>
      <w:r>
        <w:t>5G</w:t>
      </w:r>
      <w:r>
        <w:rPr>
          <w:rFonts w:hint="eastAsia"/>
        </w:rPr>
        <w:t>基站与射电天文台干扰</w:t>
      </w:r>
      <w:bookmarkEnd w:id="222"/>
    </w:p>
    <w:p>
      <w:pPr>
        <w:widowControl w:val="0"/>
        <w:spacing w:line="360" w:lineRule="auto"/>
        <w:ind w:firstLine="480" w:firstLineChars="200"/>
        <w:jc w:val="both"/>
        <w:rPr>
          <w:rFonts w:cs="Times New Roman"/>
          <w:kern w:val="2"/>
        </w:rPr>
      </w:pPr>
      <w:r>
        <w:rPr>
          <w:rFonts w:hint="eastAsia" w:cs="Times New Roman"/>
          <w:kern w:val="2"/>
        </w:rPr>
        <w:t>射电天文台的干扰保护准则参见国际电联</w:t>
      </w:r>
      <w:r>
        <w:rPr>
          <w:rFonts w:cs="Times New Roman"/>
          <w:kern w:val="2"/>
        </w:rPr>
        <w:t>ITU-R RA.769-2</w:t>
      </w:r>
      <w:r>
        <w:rPr>
          <w:rFonts w:hint="eastAsia" w:cs="Times New Roman"/>
          <w:kern w:val="2"/>
        </w:rPr>
        <w:t>建议书。</w:t>
      </w:r>
    </w:p>
    <w:p>
      <w:pPr>
        <w:widowControl w:val="0"/>
        <w:spacing w:line="360" w:lineRule="auto"/>
        <w:ind w:firstLine="480" w:firstLineChars="200"/>
        <w:jc w:val="both"/>
        <w:rPr>
          <w:rFonts w:cs="Times New Roman"/>
          <w:kern w:val="2"/>
        </w:rPr>
      </w:pPr>
      <w:r>
        <w:rPr>
          <w:rFonts w:hint="eastAsia" w:cs="Times New Roman"/>
          <w:kern w:val="2"/>
        </w:rPr>
        <w:t>干扰协调方法：</w:t>
      </w:r>
    </w:p>
    <w:p>
      <w:pPr>
        <w:widowControl w:val="0"/>
        <w:spacing w:line="360" w:lineRule="auto"/>
        <w:ind w:firstLine="480" w:firstLineChars="200"/>
        <w:jc w:val="both"/>
        <w:rPr>
          <w:rFonts w:cs="Times New Roman"/>
          <w:kern w:val="2"/>
        </w:rPr>
      </w:pPr>
      <w:r>
        <w:rPr>
          <w:rFonts w:hint="eastAsia" w:cs="Times New Roman"/>
          <w:kern w:val="2"/>
        </w:rPr>
        <w:t>《中华人民共和国频率划分办法》脚注</w:t>
      </w:r>
      <w:r>
        <w:rPr>
          <w:rFonts w:cs="Times New Roman"/>
          <w:kern w:val="2"/>
        </w:rPr>
        <w:t>11</w:t>
      </w:r>
      <w:r>
        <w:rPr>
          <w:rFonts w:hint="eastAsia" w:cs="Times New Roman"/>
          <w:kern w:val="2"/>
        </w:rPr>
        <w:t>和</w:t>
      </w:r>
      <w:r>
        <w:rPr>
          <w:rFonts w:cs="Times New Roman"/>
          <w:kern w:val="2"/>
        </w:rPr>
        <w:t>12</w:t>
      </w:r>
      <w:r>
        <w:rPr>
          <w:rFonts w:hint="eastAsia" w:cs="Times New Roman"/>
          <w:kern w:val="2"/>
        </w:rPr>
        <w:t>中所列射电天文台依法受到干扰保护。</w:t>
      </w:r>
    </w:p>
    <w:p>
      <w:pPr>
        <w:widowControl w:val="0"/>
        <w:spacing w:line="360" w:lineRule="auto"/>
        <w:ind w:firstLine="480" w:firstLineChars="200"/>
        <w:jc w:val="both"/>
        <w:rPr>
          <w:rFonts w:cs="Times New Roman"/>
          <w:kern w:val="2"/>
        </w:rPr>
      </w:pPr>
      <w:r>
        <w:rPr>
          <w:rFonts w:hint="eastAsia" w:cs="Times New Roman"/>
          <w:kern w:val="2"/>
        </w:rPr>
        <w:t>依据《中华人民共和国无线电管理条例》，各地无线电管理机构应通过设置电磁环境保护区的方式保护射电天文台。电磁环境保护区半径一般应大于视距范围，相关省（自治区、直辖市）级无线电管理机构应结合当地地理地形等因素，协调相关单位确定电磁环境保护区范围并对外发布。</w:t>
      </w:r>
    </w:p>
    <w:p>
      <w:pPr>
        <w:widowControl w:val="0"/>
        <w:spacing w:line="360" w:lineRule="auto"/>
        <w:ind w:firstLine="480" w:firstLineChars="200"/>
        <w:jc w:val="both"/>
        <w:rPr>
          <w:rFonts w:cs="Times New Roman"/>
          <w:kern w:val="2"/>
        </w:rPr>
      </w:pPr>
      <w:r>
        <w:rPr>
          <w:rFonts w:hint="eastAsia" w:cs="Times New Roman"/>
          <w:kern w:val="2"/>
        </w:rPr>
        <w:t>相关单位设置、使用</w:t>
      </w:r>
      <w:r>
        <w:rPr>
          <w:rFonts w:cs="Times New Roman"/>
          <w:kern w:val="2"/>
        </w:rPr>
        <w:t>5G</w:t>
      </w:r>
      <w:r>
        <w:rPr>
          <w:rFonts w:hint="eastAsia" w:cs="Times New Roman"/>
          <w:kern w:val="2"/>
        </w:rPr>
        <w:t>基站应严格遵守关于电磁环境保护区的技术要求和办法，同时应在网络规划、</w:t>
      </w:r>
      <w:r>
        <w:rPr>
          <w:rFonts w:cs="Times New Roman"/>
          <w:kern w:val="2"/>
        </w:rPr>
        <w:t>5G</w:t>
      </w:r>
      <w:r>
        <w:rPr>
          <w:rFonts w:hint="eastAsia" w:cs="Times New Roman"/>
          <w:kern w:val="2"/>
        </w:rPr>
        <w:t>基站建设和实施过程中采取必要的干扰规避措施，以避免对已规划和在运行的射电天文台产生有害干扰。</w:t>
      </w:r>
      <w:r>
        <w:rPr>
          <w:rFonts w:cs="Times New Roman"/>
          <w:kern w:val="2"/>
        </w:rPr>
        <w:br w:type="page"/>
      </w:r>
    </w:p>
    <w:p>
      <w:pPr>
        <w:pStyle w:val="2"/>
      </w:pPr>
      <w:bookmarkStart w:id="223" w:name="_Toc56092811"/>
      <w:r>
        <w:rPr>
          <w:rFonts w:hint="eastAsia"/>
        </w:rPr>
        <w:t>规划实施建议</w:t>
      </w:r>
      <w:bookmarkEnd w:id="223"/>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各乡镇、各部门必须采取有效措施，强化组织、制度、政策、宣传和考核等方面的保障，确保本规划的各项奋斗目标顺利实现。</w:t>
      </w:r>
    </w:p>
    <w:p>
      <w:pPr>
        <w:pStyle w:val="3"/>
        <w:numPr>
          <w:ilvl w:val="0"/>
          <w:numId w:val="57"/>
        </w:numPr>
      </w:pPr>
      <w:bookmarkStart w:id="224" w:name="_Toc462760577"/>
      <w:bookmarkStart w:id="225" w:name="_Toc56092812"/>
      <w:bookmarkStart w:id="226" w:name="_Toc423011152"/>
      <w:r>
        <w:rPr>
          <w:rFonts w:hint="eastAsia"/>
        </w:rPr>
        <w:t>加强组织管理保障</w:t>
      </w:r>
      <w:bookmarkEnd w:id="224"/>
      <w:bookmarkEnd w:id="225"/>
      <w:bookmarkEnd w:id="226"/>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充分发挥梁平区</w:t>
      </w:r>
      <w:r>
        <w:rPr>
          <w:rFonts w:ascii="Times New Roman" w:hAnsi="Times New Roman" w:cs="Times New Roman"/>
          <w:kern w:val="2"/>
        </w:rPr>
        <w:t>5G</w:t>
      </w:r>
      <w:r>
        <w:rPr>
          <w:rFonts w:hint="eastAsia" w:ascii="Times New Roman" w:hAnsi="Times New Roman" w:cs="Times New Roman"/>
          <w:kern w:val="2"/>
        </w:rPr>
        <w:t>通信网建设协调推进工作联席会议办公室的作用，建立决策科学、运行有效、职责明确的领导体制和工作机制，制定和实施全区通信基础设施建设行动计划，督促和推动通信基础设施重点工程建设，协调解决通信基础设施建设和运营中的问题。组建通信基础设施建设专家咨询委员会，在制定发展规划、重点工程项目方案评审和通信基础设施建设成果鉴定等方面发挥作用。</w:t>
      </w:r>
    </w:p>
    <w:p>
      <w:pPr>
        <w:widowControl w:val="0"/>
        <w:snapToGrid w:val="0"/>
        <w:spacing w:line="360" w:lineRule="auto"/>
        <w:ind w:firstLine="480" w:firstLineChars="200"/>
        <w:contextualSpacing/>
        <w:jc w:val="both"/>
        <w:rPr>
          <w:rFonts w:ascii="Times New Roman" w:hAnsi="Times New Roman" w:eastAsia="华文细黑" w:cs="Times New Roman"/>
          <w:kern w:val="2"/>
        </w:rPr>
      </w:pPr>
      <w:r>
        <w:rPr>
          <w:rFonts w:hint="eastAsia" w:ascii="Times New Roman" w:hAnsi="Times New Roman" w:cs="Times New Roman"/>
          <w:kern w:val="2"/>
        </w:rPr>
        <w:t>强化经信委作为通信主管部门在通信基础设施建设中的统领作用。发挥其统筹规划、科学管理和宏观调控职能，对全区通信基础设施建设进行统一规划。为保障通信基础设施规划的实施，有必要成立相关保障组织，建立起政府、企业、其他相关部门的横向配合机制，市、区、镇纵向沟通机制。</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建立通信基础设施建设联动机制，充分调动各乡镇机关、行业主管部门的积极性。加强对信息化发展思路、模式、法制、机制的研究，促进乡镇与乡镇之间、部门与部门之间、政府与企业之间的协同配合，提高决策水平。</w:t>
      </w:r>
    </w:p>
    <w:p>
      <w:pPr>
        <w:pStyle w:val="3"/>
      </w:pPr>
      <w:bookmarkStart w:id="227" w:name="_Toc56092813"/>
      <w:r>
        <w:rPr>
          <w:rFonts w:hint="eastAsia"/>
        </w:rPr>
        <w:t>加大政策扶持力度</w:t>
      </w:r>
      <w:bookmarkEnd w:id="227"/>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贯彻落实国家、市推进信息化与通信基础设施建设的政策法规，制定出台具有梁平区域特色的通信基础设施建设管理、信息化和工业化融合、通信市场监管、和知识产权保护等相关配套政策法规，健全全区通信基础设施发展的行政管理规范。</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各级规划部门要将通信基础设施建设规划纳入城乡建设规划，实现与国民经济和社会发展规划等其他规划的有效衔接与同步实施，依据梁平区人民政府批复的通信基础设施规划，保障信息通信基础设施建设用地。将政府与各通信企业签订的战略合作框架协议及所涉及的通信楼、光缆、基站等建设项目纳入城乡发展规划、土地利用规划等统筹安排。建立健全通信设施与大型公用设施建设统一规划、同步建设制度。</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完善通信基础设施建设用地保护制度，避免市政改造造成已有基础设施的浪费，规范市政建设对信息通信基础设施破损等的赔补。在城市建设规划中充分考虑信息通信基础设施重建，对被拆设施</w:t>
      </w:r>
      <w:r>
        <w:rPr>
          <w:rFonts w:ascii="Times New Roman" w:hAnsi="Times New Roman" w:cs="Times New Roman"/>
          <w:kern w:val="2"/>
        </w:rPr>
        <w:t>(</w:t>
      </w:r>
      <w:r>
        <w:rPr>
          <w:rFonts w:hint="eastAsia" w:ascii="Times New Roman" w:hAnsi="Times New Roman" w:cs="Times New Roman"/>
          <w:kern w:val="2"/>
        </w:rPr>
        <w:t>站点、传输等</w:t>
      </w:r>
      <w:r>
        <w:rPr>
          <w:rFonts w:ascii="Times New Roman" w:hAnsi="Times New Roman" w:cs="Times New Roman"/>
          <w:kern w:val="2"/>
        </w:rPr>
        <w:t>)</w:t>
      </w:r>
      <w:r>
        <w:rPr>
          <w:rFonts w:hint="eastAsia" w:ascii="Times New Roman" w:hAnsi="Times New Roman" w:cs="Times New Roman"/>
          <w:kern w:val="2"/>
        </w:rPr>
        <w:t>给予政策支持，保障新站建设顺利实施，保障用户通信质量。</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坚持</w:t>
      </w:r>
      <w:r>
        <w:rPr>
          <w:rFonts w:ascii="Times New Roman" w:hAnsi="Times New Roman" w:cs="Times New Roman"/>
          <w:kern w:val="2"/>
        </w:rPr>
        <w:t>“</w:t>
      </w:r>
      <w:r>
        <w:rPr>
          <w:rFonts w:hint="eastAsia" w:ascii="Times New Roman" w:hAnsi="Times New Roman" w:cs="Times New Roman"/>
          <w:kern w:val="2"/>
        </w:rPr>
        <w:t>服务、规范、调整、提高</w:t>
      </w:r>
      <w:r>
        <w:rPr>
          <w:rFonts w:ascii="Times New Roman" w:hAnsi="Times New Roman" w:cs="Times New Roman"/>
          <w:kern w:val="2"/>
        </w:rPr>
        <w:t>”</w:t>
      </w:r>
      <w:r>
        <w:rPr>
          <w:rFonts w:hint="eastAsia" w:ascii="Times New Roman" w:hAnsi="Times New Roman" w:cs="Times New Roman"/>
          <w:kern w:val="2"/>
        </w:rPr>
        <w:t>的工作方针，制定落实通信基础设施市场竞争制度。按照用户自由选择、企业公平接入、资源共建共享的原则，进一步规范通信基础设施建设，完善通信管线和用户接入资源的共享机制。积极推进三网融合和优化整合，发挥各种网络资源的比较优势，避免重复建设。加强新技术、新业务创新的引导，对新技术和新业务带来的影响进行科学评估与研究。</w:t>
      </w:r>
    </w:p>
    <w:p>
      <w:pPr>
        <w:pStyle w:val="3"/>
      </w:pPr>
      <w:bookmarkStart w:id="228" w:name="_Toc56092814"/>
      <w:r>
        <w:rPr>
          <w:rFonts w:hint="eastAsia"/>
        </w:rPr>
        <w:t>优化行业发展环境</w:t>
      </w:r>
      <w:bookmarkEnd w:id="228"/>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各乡镇、各部门要进一步加强协调配合，不断优化通信基础设施建设与发展的社会环境。针对房产商的通信基础设施审核机制，规划、建设部门要将通信配套设施纳入小区建设规划审查范围，将通信配套设施纳入新建项目的竣工验收范围，在房屋竣工前必须进行通信基础设施资源是否标准的审核和报备，对于没有预留通信基础设施资源或者通信基础资源建设不合格的房产，原则上不予竣工验收。</w:t>
      </w:r>
    </w:p>
    <w:p>
      <w:pPr>
        <w:widowControl w:val="0"/>
        <w:snapToGrid w:val="0"/>
        <w:spacing w:line="360" w:lineRule="auto"/>
        <w:ind w:firstLine="480" w:firstLineChars="200"/>
        <w:contextualSpacing/>
        <w:jc w:val="center"/>
        <w:rPr>
          <w:rFonts w:ascii="Times New Roman" w:hAnsi="Times New Roman" w:cs="Times New Roman"/>
          <w:kern w:val="2"/>
        </w:rPr>
      </w:pPr>
      <w:r>
        <w:rPr>
          <w:rFonts w:ascii="Times New Roman" w:hAnsi="Times New Roman" w:cs="Times New Roman"/>
          <w:kern w:val="2"/>
        </w:rPr>
        <w:pict>
          <v:shape id="_x0000_i1105" o:spt="75" type="#_x0000_t75" style="height:189.75pt;width:267.75pt;" filled="f" o:preferrelative="t" stroked="f" coordsize="21600,21600">
            <v:path/>
            <v:fill on="f" focussize="0,0"/>
            <v:stroke on="f" joinstyle="miter"/>
            <v:imagedata r:id="rId92" o:title=""/>
            <o:lock v:ext="edit" aspectratio="t"/>
            <w10:wrap type="none"/>
            <w10:anchorlock/>
          </v:shape>
        </w:pict>
      </w:r>
    </w:p>
    <w:p>
      <w:pPr>
        <w:pStyle w:val="8"/>
        <w:spacing w:before="65" w:after="65"/>
      </w:pPr>
      <w:r>
        <w:rPr>
          <w:rFonts w:hint="eastAsia"/>
        </w:rPr>
        <w:t>图</w:t>
      </w:r>
      <w:r>
        <w:t xml:space="preserve">11-1 </w:t>
      </w:r>
      <w:r>
        <w:rPr>
          <w:rFonts w:hint="eastAsia"/>
        </w:rPr>
        <w:t>通信基础设施资源审核报备流程示意图</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加快审核通信楼、基站站址和通信光缆等通信基础设施规划设计方案。国土资源部门对符合用地预审和土地征收等条件的通信基础设施建设项目，要尽快办理用地手续。交通、铁路部门要及时审批在公路、铁路、客运站等控制区内埋设管线、架设光电缆及通信基站等设施的申请。并通过建立联席会议，实时保障通信基础设施建设有序进行。</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环保部门要做好有关基站电磁辐射投诉的宣传解释工作，积极协调上级环保部门加快基站电磁辐射环境影响评价审批工作进度，进一步推进规划环评试行工作，为基站建设选址提供支撑。无线电管理部门要在国家政策框架下依法简化程序，及时审批基站建设所需的无线电频率资源。公安部门要依法严厉惩处各类干扰破坏通信基础设施建设的行为。</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供电企业要切实保障通信基础设施建设项目的电力供应，对通信电力工程建设给予最大限度支持，对用电性质相同、共建共享的通信企业共用电源，应视为非转供电并给予支持。各建筑设计单位、开发企业要按照重庆市住宅小区和商住楼通信设施相关技术标准进行设计施工和建设，满足各通信运营企业宽带业务、驻地网等接入要求。</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建设单位在铁路、公路、政府投资的公共基础设施以及城市道路拓宽改造工程的项目规划、勘察设计前，应书面征求通信企业投资同步建设需求，通信企业要积极配合，做到同步实施、协调发展。</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各通信企业应超前规划、共建共享通信基站，避免单独、分散、滞后建站。各级政府要帮助企业解决影响基站选址、管线敷设等问题，有关部门要率先开放机关、国有企事业单位、高校园区、公共场所、公共设施</w:t>
      </w:r>
      <w:r>
        <w:rPr>
          <w:rFonts w:ascii="Times New Roman" w:hAnsi="Times New Roman" w:cs="Times New Roman"/>
          <w:kern w:val="2"/>
        </w:rPr>
        <w:t>(</w:t>
      </w:r>
      <w:r>
        <w:rPr>
          <w:rFonts w:hint="eastAsia" w:ascii="Times New Roman" w:hAnsi="Times New Roman" w:cs="Times New Roman"/>
          <w:kern w:val="2"/>
        </w:rPr>
        <w:t>绿地、灯杆等</w:t>
      </w:r>
      <w:r>
        <w:rPr>
          <w:rFonts w:ascii="Times New Roman" w:hAnsi="Times New Roman" w:cs="Times New Roman"/>
          <w:kern w:val="2"/>
        </w:rPr>
        <w:t>)</w:t>
      </w:r>
      <w:r>
        <w:rPr>
          <w:rFonts w:hint="eastAsia" w:ascii="Times New Roman" w:hAnsi="Times New Roman" w:cs="Times New Roman"/>
          <w:kern w:val="2"/>
        </w:rPr>
        <w:t>、车站等所属建筑物，支持通信光缆、基站以及室内分布系统等信息通信基础设施的建设。</w:t>
      </w:r>
    </w:p>
    <w:p>
      <w:pPr>
        <w:pStyle w:val="3"/>
      </w:pPr>
      <w:bookmarkStart w:id="229" w:name="_Toc423011155"/>
      <w:bookmarkStart w:id="230" w:name="_Toc462760580"/>
      <w:bookmarkStart w:id="231" w:name="_Toc56092815"/>
      <w:r>
        <w:rPr>
          <w:rFonts w:hint="eastAsia"/>
        </w:rPr>
        <w:t>建立健全多元化投融资机制</w:t>
      </w:r>
      <w:bookmarkEnd w:id="229"/>
      <w:bookmarkEnd w:id="230"/>
      <w:bookmarkEnd w:id="231"/>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加大政府对信息化和通信基础设施建设的投入，高质量、高效率地推进一批全局性、基础性、公益性、示范性的重大工程。加强对政府投入资金的管理、监督和审计，保证项目的公开、透明和有效性。</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完善通信基础设施建设的投融资机制和管理模式，逐步形成</w:t>
      </w:r>
      <w:r>
        <w:rPr>
          <w:rFonts w:ascii="Times New Roman" w:hAnsi="Times New Roman" w:cs="Times New Roman"/>
          <w:kern w:val="2"/>
        </w:rPr>
        <w:t>“</w:t>
      </w:r>
      <w:r>
        <w:rPr>
          <w:rFonts w:hint="eastAsia" w:ascii="Times New Roman" w:hAnsi="Times New Roman" w:cs="Times New Roman"/>
          <w:kern w:val="2"/>
        </w:rPr>
        <w:t>运营商公平接入、用户自由选择</w:t>
      </w:r>
      <w:r>
        <w:rPr>
          <w:rFonts w:ascii="Times New Roman" w:hAnsi="Times New Roman" w:cs="Times New Roman"/>
          <w:kern w:val="2"/>
        </w:rPr>
        <w:t>”</w:t>
      </w:r>
      <w:r>
        <w:rPr>
          <w:rFonts w:hint="eastAsia" w:ascii="Times New Roman" w:hAnsi="Times New Roman" w:cs="Times New Roman"/>
          <w:kern w:val="2"/>
        </w:rPr>
        <w:t>的市场格局。积极探索信息化和通信基础设施建设项目产业化、市场化运作模式，广泛吸纳社会资本。加大招商引资力度，吸纳国内外企业来梁平投资通信基础设施建设，并通过他们的投资示范作用，带动民间资本、私营企业参与建设。此外，全面引入有利于基础通信网络运营商竞争、联合和发展的激励机制，充分发挥社会各方面的力量参与信息化和通信基础设施的建设与运营；引导、规范各家通信运营商对政府依法开放的信息资源进行增值开发，允许其利用所得来回收投资、补偿成本并获得回报。</w:t>
      </w:r>
    </w:p>
    <w:p>
      <w:pPr>
        <w:pStyle w:val="3"/>
      </w:pPr>
      <w:bookmarkStart w:id="232" w:name="_Toc56092816"/>
      <w:r>
        <w:rPr>
          <w:rFonts w:hint="eastAsia"/>
        </w:rPr>
        <w:t>营造良好舆论氛围</w:t>
      </w:r>
      <w:bookmarkEnd w:id="232"/>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通信基础设施宣传工作是优化通信基础设施建设发展环境的重要内容。区经信、宣传等部门要将通信基础设施宣传工作列入重要工作内容，深入宣传贯彻党中央、国务院和省、市有关信息化和通信基础设施建设发展的方针政策，及时准确反映全区信息化和通信基础设施建设工作情况。要准确把握新形势下信息化和通信基础设施建设宣传工作的特点和规律，不断创新信息化和通信基础设施建设宣传的方式和方法。要加强舆论引导，加大对信息通信基础设施相关知识的宣传普及力度，积极推进通信知识进农村、学校、企业、社区活动，消除公众对基站、广播电视发射塔电磁辐射的片面认识，推动全社会对通信基础设施建设工作的关注、支持和参与，努力营造全社会共同支持信息通信基础设施建设的良好氛围。</w:t>
      </w:r>
    </w:p>
    <w:p>
      <w:pPr>
        <w:pStyle w:val="3"/>
      </w:pPr>
      <w:bookmarkStart w:id="233" w:name="_Toc56092817"/>
      <w:r>
        <w:rPr>
          <w:rFonts w:hint="eastAsia"/>
        </w:rPr>
        <w:t>加强通信安全体系建设</w:t>
      </w:r>
      <w:bookmarkEnd w:id="233"/>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按照</w:t>
      </w:r>
      <w:r>
        <w:rPr>
          <w:rFonts w:ascii="Times New Roman" w:hAnsi="Times New Roman" w:cs="Times New Roman"/>
          <w:kern w:val="2"/>
        </w:rPr>
        <w:t>“</w:t>
      </w:r>
      <w:r>
        <w:rPr>
          <w:rFonts w:hint="eastAsia" w:ascii="Times New Roman" w:hAnsi="Times New Roman" w:cs="Times New Roman"/>
          <w:kern w:val="2"/>
        </w:rPr>
        <w:t>积极防御，综合防范</w:t>
      </w:r>
      <w:r>
        <w:rPr>
          <w:rFonts w:ascii="Times New Roman" w:hAnsi="Times New Roman" w:cs="Times New Roman"/>
          <w:kern w:val="2"/>
        </w:rPr>
        <w:t>”</w:t>
      </w:r>
      <w:r>
        <w:rPr>
          <w:rFonts w:hint="eastAsia" w:ascii="Times New Roman" w:hAnsi="Times New Roman" w:cs="Times New Roman"/>
          <w:kern w:val="2"/>
        </w:rPr>
        <w:t>的方针，推进通信基础设施建设安全保障体系建设。各相关部门和通信企业要加强通信基础设施建设安全制度和技术体系建设。制定通信安全管理办法和建设标准，细化实现通信安全总体目标中必须落实的各项安全要求。加大对通信基础设施重要节点的安全防护力度。任何组织、个人对经批准建设的通信线路、基站及其他通信基础设施，不得擅自改动或迁移。需要对已有通信基础设施进行改动或迁移的，应事先组织通信企业参与施工方案会审。施工单位应严格执行施工规范，确保各通信运营企业在重要节点和路段的通信基础设施安全。</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各级政府要建立健全通信基础设施安全应急反应及处置机制。开展信息和通信基础设施安全教育，依靠、发动社会各方面力量，建立完善通信基础设施安全防护体系，确保全区通信网络安全畅通，确保国家和人民生命财产的安全，维护政治、经济和社会稳定。</w:t>
      </w:r>
    </w:p>
    <w:p>
      <w:pPr>
        <w:pStyle w:val="3"/>
      </w:pPr>
      <w:bookmarkStart w:id="234" w:name="_Toc56092818"/>
      <w:r>
        <w:rPr>
          <w:rFonts w:hint="eastAsia"/>
        </w:rPr>
        <w:t>进行考核评估体系建设</w:t>
      </w:r>
      <w:bookmarkEnd w:id="234"/>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制定科学合理的通信基础设施建设统计指标体系，将各区域通信基础设施建设工作目标考核纳入区委、区政府年度目标管理责任制考核范围。</w:t>
      </w:r>
    </w:p>
    <w:p>
      <w:pPr>
        <w:widowControl w:val="0"/>
        <w:snapToGrid w:val="0"/>
        <w:spacing w:line="360" w:lineRule="auto"/>
        <w:ind w:firstLine="480" w:firstLineChars="200"/>
        <w:contextualSpacing/>
        <w:jc w:val="both"/>
        <w:rPr>
          <w:rFonts w:ascii="Times New Roman" w:hAnsi="Times New Roman" w:cs="Times New Roman"/>
          <w:kern w:val="2"/>
        </w:rPr>
      </w:pPr>
      <w:r>
        <w:rPr>
          <w:rFonts w:hint="eastAsia" w:ascii="Times New Roman" w:hAnsi="Times New Roman" w:cs="Times New Roman"/>
          <w:kern w:val="2"/>
        </w:rPr>
        <w:t>不断改进目标考核评估方法，把目标考核作为推进通信基础设施建设工作的重要保障措施。研究制订通信企业绩效评价指标体系，加强对涉及国计民生的通信基础设施安全考核，评选表彰通信基础设施建设先进企业。切实通过加强绩效考核工作，促进通信基础设施建设责任与权利紧密结合，建立健全通信基础设施建设激励约束机制。</w:t>
      </w:r>
    </w:p>
    <w:p/>
    <w:sectPr>
      <w:headerReference r:id="rId15" w:type="default"/>
      <w:pgSz w:w="11906" w:h="16838"/>
      <w:pgMar w:top="1389" w:right="1287" w:bottom="1389" w:left="1287" w:header="510" w:footer="992" w:gutter="0"/>
      <w:pgNumType w:start="1"/>
      <w:cols w:space="425" w:num="1"/>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ËÎÌå">
    <w:altName w:val="Arial"/>
    <w:panose1 w:val="00000000000000000000"/>
    <w:charset w:val="00"/>
    <w:family w:val="swiss"/>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p>
    <w:pPr>
      <w:pStyle w:val="2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 PAGE  \* Arabic  \* MERGEFORMAT </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48</w:t>
    </w:r>
    <w:r>
      <w:rPr>
        <w:lang w:val="zh-CN"/>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2"/>
      </w:pBdr>
      <w:snapToGrid/>
      <w:contextualSpacing/>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2"/>
      </w:pBdr>
      <w:tabs>
        <w:tab w:val="center" w:pos="4666"/>
        <w:tab w:val="right" w:pos="9332"/>
        <w:tab w:val="clear" w:pos="4153"/>
        <w:tab w:val="clear" w:pos="8306"/>
      </w:tabs>
      <w:snapToGrid/>
      <w:jc w:val="left"/>
    </w:pPr>
    <w:r>
      <w:pict>
        <v:shape id="_x0000_i1025" o:spt="75" type="#_x0000_t75" style="height:20.25pt;width:51pt;" filled="f" o:preferrelative="t" stroked="f" coordsize="21600,21600">
          <v:path/>
          <v:fill on="f" focussize="0,0"/>
          <v:stroke on="f" joinstyle="miter"/>
          <v:imagedata r:id="rId1" o:title=""/>
          <o:lock v:ext="edit" aspectratio="t"/>
          <w10:wrap type="none"/>
          <w10:anchorlock/>
        </v:shape>
      </w:pict>
    </w:r>
    <w:r>
      <w:tab/>
    </w:r>
    <w:r>
      <w:tab/>
    </w:r>
    <w:r>
      <w:rPr>
        <w:rFonts w:hint="eastAsia"/>
      </w:rPr>
      <w:t>重庆市梁平区</w:t>
    </w:r>
    <w:r>
      <w:t>5G</w:t>
    </w:r>
    <w:r>
      <w:rPr>
        <w:rFonts w:hint="eastAsia"/>
      </w:rPr>
      <w:t>通信基础设施规划</w:t>
    </w:r>
    <w:r>
      <w:t>-</w:t>
    </w:r>
    <w:r>
      <w:rPr>
        <w:rFonts w:hint="eastAsia"/>
      </w:rPr>
      <w:t>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2"/>
      </w:pBdr>
      <w:tabs>
        <w:tab w:val="center" w:pos="4666"/>
        <w:tab w:val="right" w:pos="9332"/>
        <w:tab w:val="clear" w:pos="4153"/>
        <w:tab w:val="clear" w:pos="8306"/>
      </w:tabs>
      <w:snapToGrid/>
      <w:jc w:val="left"/>
    </w:pPr>
    <w:r>
      <w:pict>
        <v:shape id="_x0000_i1029" o:spt="75" type="#_x0000_t75" style="height:20.25pt;width:51pt;" filled="f" o:preferrelative="t" stroked="f" coordsize="21600,21600">
          <v:path/>
          <v:fill on="f" focussize="0,0"/>
          <v:stroke on="f" joinstyle="miter"/>
          <v:imagedata r:id="rId1" o:title=""/>
          <o:lock v:ext="edit" aspectratio="t"/>
          <w10:wrap type="none"/>
          <w10:anchorlock/>
        </v:shape>
      </w:pict>
    </w:r>
    <w:r>
      <w:tab/>
    </w:r>
    <w:r>
      <w:tab/>
    </w:r>
    <w:r>
      <w:rPr>
        <w:rFonts w:hint="eastAsia"/>
      </w:rPr>
      <w:t>重庆市梁平区</w:t>
    </w:r>
    <w:r>
      <w:t>5G</w:t>
    </w:r>
    <w:r>
      <w:rPr>
        <w:rFonts w:hint="eastAsia"/>
      </w:rPr>
      <w:t>通信基础设施规划</w:t>
    </w:r>
    <w:r>
      <w:t>-</w:t>
    </w:r>
    <w:r>
      <w:rPr>
        <w:rFonts w:hint="eastAsia"/>
      </w:rPr>
      <w:t>说明</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2"/>
      </w:pBdr>
      <w:tabs>
        <w:tab w:val="center" w:pos="4666"/>
        <w:tab w:val="right" w:pos="9332"/>
        <w:tab w:val="clear" w:pos="4153"/>
        <w:tab w:val="clear" w:pos="8306"/>
      </w:tabs>
      <w:snapToGrid/>
      <w:jc w:val="left"/>
    </w:pPr>
    <w:r>
      <w:pict>
        <v:shape id="_x0000_i1106" o:spt="75" type="#_x0000_t75" style="height:20.25pt;width:51pt;" filled="f" o:preferrelative="t" stroked="f" coordsize="21600,21600">
          <v:path/>
          <v:fill on="f" focussize="0,0"/>
          <v:stroke on="f" joinstyle="miter"/>
          <v:imagedata r:id="rId1" o:title=""/>
          <o:lock v:ext="edit" aspectratio="t"/>
          <w10:wrap type="none"/>
          <w10:anchorlock/>
        </v:shape>
      </w:pict>
    </w:r>
    <w:r>
      <w:tab/>
    </w:r>
    <w:r>
      <w:tab/>
    </w:r>
    <w:r>
      <w:rPr>
        <w:rFonts w:hint="eastAsia"/>
      </w:rPr>
      <w:t>重庆市梁平区通信基础设施规划</w:t>
    </w:r>
    <w:r>
      <w:t>-</w:t>
    </w:r>
    <w:r>
      <w:rPr>
        <w:rFonts w:hint="eastAsia"/>
      </w:rPr>
      <w:t>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495560"/>
    <w:multiLevelType w:val="multilevel"/>
    <w:tmpl w:val="11495560"/>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12BC7624"/>
    <w:multiLevelType w:val="multilevel"/>
    <w:tmpl w:val="12BC7624"/>
    <w:lvl w:ilvl="0" w:tentative="0">
      <w:start w:val="1"/>
      <w:numFmt w:val="decimal"/>
      <w:lvlText w:val="%1."/>
      <w:lvlJc w:val="left"/>
      <w:pPr>
        <w:ind w:left="987" w:hanging="420"/>
      </w:pPr>
      <w:rPr>
        <w:rFonts w:hint="eastAsia" w:ascii="黑体" w:hAnsi="黑体" w:eastAsia="黑体" w:cs="Times New Roman"/>
        <w:sz w:val="24"/>
        <w:szCs w:val="24"/>
      </w:rPr>
    </w:lvl>
    <w:lvl w:ilvl="1" w:tentative="0">
      <w:start w:val="1"/>
      <w:numFmt w:val="lowerLetter"/>
      <w:lvlText w:val="%2)"/>
      <w:lvlJc w:val="left"/>
      <w:pPr>
        <w:ind w:left="1407" w:hanging="420"/>
      </w:pPr>
      <w:rPr>
        <w:rFonts w:cs="Times New Roman"/>
      </w:rPr>
    </w:lvl>
    <w:lvl w:ilvl="2" w:tentative="0">
      <w:start w:val="1"/>
      <w:numFmt w:val="lowerRoman"/>
      <w:lvlText w:val="%3."/>
      <w:lvlJc w:val="right"/>
      <w:pPr>
        <w:ind w:left="1827" w:hanging="420"/>
      </w:pPr>
      <w:rPr>
        <w:rFonts w:cs="Times New Roman"/>
      </w:rPr>
    </w:lvl>
    <w:lvl w:ilvl="3" w:tentative="0">
      <w:start w:val="1"/>
      <w:numFmt w:val="decimal"/>
      <w:lvlText w:val="%4."/>
      <w:lvlJc w:val="left"/>
      <w:pPr>
        <w:ind w:left="2247" w:hanging="420"/>
      </w:pPr>
      <w:rPr>
        <w:rFonts w:cs="Times New Roman"/>
      </w:rPr>
    </w:lvl>
    <w:lvl w:ilvl="4" w:tentative="0">
      <w:start w:val="1"/>
      <w:numFmt w:val="lowerLetter"/>
      <w:lvlText w:val="%5)"/>
      <w:lvlJc w:val="left"/>
      <w:pPr>
        <w:ind w:left="2667" w:hanging="420"/>
      </w:pPr>
      <w:rPr>
        <w:rFonts w:cs="Times New Roman"/>
      </w:rPr>
    </w:lvl>
    <w:lvl w:ilvl="5" w:tentative="0">
      <w:start w:val="1"/>
      <w:numFmt w:val="lowerRoman"/>
      <w:lvlText w:val="%6."/>
      <w:lvlJc w:val="right"/>
      <w:pPr>
        <w:ind w:left="3087" w:hanging="420"/>
      </w:pPr>
      <w:rPr>
        <w:rFonts w:cs="Times New Roman"/>
      </w:rPr>
    </w:lvl>
    <w:lvl w:ilvl="6" w:tentative="0">
      <w:start w:val="1"/>
      <w:numFmt w:val="decimal"/>
      <w:lvlText w:val="%7."/>
      <w:lvlJc w:val="left"/>
      <w:pPr>
        <w:ind w:left="3507" w:hanging="420"/>
      </w:pPr>
      <w:rPr>
        <w:rFonts w:cs="Times New Roman"/>
      </w:rPr>
    </w:lvl>
    <w:lvl w:ilvl="7" w:tentative="0">
      <w:start w:val="1"/>
      <w:numFmt w:val="lowerLetter"/>
      <w:lvlText w:val="%8)"/>
      <w:lvlJc w:val="left"/>
      <w:pPr>
        <w:ind w:left="3927" w:hanging="420"/>
      </w:pPr>
      <w:rPr>
        <w:rFonts w:cs="Times New Roman"/>
      </w:rPr>
    </w:lvl>
    <w:lvl w:ilvl="8" w:tentative="0">
      <w:start w:val="1"/>
      <w:numFmt w:val="lowerRoman"/>
      <w:lvlText w:val="%9."/>
      <w:lvlJc w:val="right"/>
      <w:pPr>
        <w:ind w:left="4347" w:hanging="420"/>
      </w:pPr>
      <w:rPr>
        <w:rFonts w:cs="Times New Roman"/>
      </w:rPr>
    </w:lvl>
  </w:abstractNum>
  <w:abstractNum w:abstractNumId="2">
    <w:nsid w:val="14775E6D"/>
    <w:multiLevelType w:val="singleLevel"/>
    <w:tmpl w:val="14775E6D"/>
    <w:lvl w:ilvl="0" w:tentative="0">
      <w:start w:val="1"/>
      <w:numFmt w:val="chineseCountingThousand"/>
      <w:lvlText w:val="第%1条"/>
      <w:lvlJc w:val="left"/>
      <w:pPr>
        <w:tabs>
          <w:tab w:val="left" w:pos="2681"/>
        </w:tabs>
        <w:ind w:left="1106" w:firstLine="454"/>
      </w:pPr>
      <w:rPr>
        <w:rFonts w:hint="eastAsia" w:ascii="黑体" w:hAnsi="黑体" w:eastAsia="黑体" w:cs="Times New Roman"/>
        <w:b w:val="0"/>
        <w:sz w:val="28"/>
        <w:szCs w:val="28"/>
      </w:rPr>
    </w:lvl>
  </w:abstractNum>
  <w:abstractNum w:abstractNumId="3">
    <w:nsid w:val="14A54067"/>
    <w:multiLevelType w:val="multilevel"/>
    <w:tmpl w:val="14A54067"/>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4">
    <w:nsid w:val="14F53427"/>
    <w:multiLevelType w:val="multilevel"/>
    <w:tmpl w:val="14F5342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177F0872"/>
    <w:multiLevelType w:val="multilevel"/>
    <w:tmpl w:val="177F0872"/>
    <w:lvl w:ilvl="0" w:tentative="0">
      <w:start w:val="1"/>
      <w:numFmt w:val="decimal"/>
      <w:lvlText w:val="%1."/>
      <w:lvlJc w:val="left"/>
      <w:pPr>
        <w:ind w:left="1129" w:hanging="420"/>
      </w:pPr>
      <w:rPr>
        <w:rFonts w:hint="eastAsia" w:ascii="黑体" w:hAnsi="黑体" w:eastAsia="黑体" w:cs="Times New Roman"/>
        <w:sz w:val="24"/>
        <w:szCs w:val="24"/>
      </w:rPr>
    </w:lvl>
    <w:lvl w:ilvl="1" w:tentative="0">
      <w:start w:val="1"/>
      <w:numFmt w:val="lowerLetter"/>
      <w:lvlText w:val="%2)"/>
      <w:lvlJc w:val="left"/>
      <w:pPr>
        <w:ind w:left="1549" w:hanging="420"/>
      </w:pPr>
      <w:rPr>
        <w:rFonts w:cs="Times New Roman"/>
      </w:rPr>
    </w:lvl>
    <w:lvl w:ilvl="2" w:tentative="0">
      <w:start w:val="1"/>
      <w:numFmt w:val="lowerRoman"/>
      <w:lvlText w:val="%3."/>
      <w:lvlJc w:val="right"/>
      <w:pPr>
        <w:ind w:left="1969" w:hanging="420"/>
      </w:pPr>
      <w:rPr>
        <w:rFonts w:cs="Times New Roman"/>
      </w:rPr>
    </w:lvl>
    <w:lvl w:ilvl="3" w:tentative="0">
      <w:start w:val="1"/>
      <w:numFmt w:val="decimal"/>
      <w:lvlText w:val="%4."/>
      <w:lvlJc w:val="left"/>
      <w:pPr>
        <w:ind w:left="2389" w:hanging="420"/>
      </w:pPr>
      <w:rPr>
        <w:rFonts w:cs="Times New Roman"/>
      </w:rPr>
    </w:lvl>
    <w:lvl w:ilvl="4" w:tentative="0">
      <w:start w:val="1"/>
      <w:numFmt w:val="lowerLetter"/>
      <w:lvlText w:val="%5)"/>
      <w:lvlJc w:val="left"/>
      <w:pPr>
        <w:ind w:left="2809" w:hanging="420"/>
      </w:pPr>
      <w:rPr>
        <w:rFonts w:cs="Times New Roman"/>
      </w:rPr>
    </w:lvl>
    <w:lvl w:ilvl="5" w:tentative="0">
      <w:start w:val="1"/>
      <w:numFmt w:val="lowerRoman"/>
      <w:lvlText w:val="%6."/>
      <w:lvlJc w:val="right"/>
      <w:pPr>
        <w:ind w:left="3229" w:hanging="420"/>
      </w:pPr>
      <w:rPr>
        <w:rFonts w:cs="Times New Roman"/>
      </w:rPr>
    </w:lvl>
    <w:lvl w:ilvl="6" w:tentative="0">
      <w:start w:val="1"/>
      <w:numFmt w:val="decimal"/>
      <w:lvlText w:val="%7."/>
      <w:lvlJc w:val="left"/>
      <w:pPr>
        <w:ind w:left="3649" w:hanging="420"/>
      </w:pPr>
      <w:rPr>
        <w:rFonts w:cs="Times New Roman"/>
      </w:rPr>
    </w:lvl>
    <w:lvl w:ilvl="7" w:tentative="0">
      <w:start w:val="1"/>
      <w:numFmt w:val="lowerLetter"/>
      <w:lvlText w:val="%8)"/>
      <w:lvlJc w:val="left"/>
      <w:pPr>
        <w:ind w:left="4069" w:hanging="420"/>
      </w:pPr>
      <w:rPr>
        <w:rFonts w:cs="Times New Roman"/>
      </w:rPr>
    </w:lvl>
    <w:lvl w:ilvl="8" w:tentative="0">
      <w:start w:val="1"/>
      <w:numFmt w:val="lowerRoman"/>
      <w:lvlText w:val="%9."/>
      <w:lvlJc w:val="right"/>
      <w:pPr>
        <w:ind w:left="4489" w:hanging="420"/>
      </w:pPr>
      <w:rPr>
        <w:rFonts w:cs="Times New Roman"/>
      </w:rPr>
    </w:lvl>
  </w:abstractNum>
  <w:abstractNum w:abstractNumId="6">
    <w:nsid w:val="1BF54505"/>
    <w:multiLevelType w:val="multilevel"/>
    <w:tmpl w:val="1BF54505"/>
    <w:lvl w:ilvl="0" w:tentative="0">
      <w:start w:val="1"/>
      <w:numFmt w:val="decimal"/>
      <w:pStyle w:val="6"/>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1F5A7A59"/>
    <w:multiLevelType w:val="multilevel"/>
    <w:tmpl w:val="1F5A7A59"/>
    <w:lvl w:ilvl="0" w:tentative="0">
      <w:start w:val="1"/>
      <w:numFmt w:val="decimal"/>
      <w:lvlText w:val="%1."/>
      <w:lvlJc w:val="left"/>
      <w:pPr>
        <w:ind w:left="902" w:hanging="420"/>
      </w:pPr>
      <w:rPr>
        <w:rFonts w:hint="eastAsia" w:ascii="黑体" w:hAnsi="黑体" w:eastAsia="黑体" w:cs="Times New Roman"/>
        <w:sz w:val="24"/>
        <w:szCs w:val="24"/>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14766CA"/>
    <w:multiLevelType w:val="multilevel"/>
    <w:tmpl w:val="214766CA"/>
    <w:lvl w:ilvl="0" w:tentative="0">
      <w:start w:val="1"/>
      <w:numFmt w:val="lowerLetter"/>
      <w:lvlText w:val="%1."/>
      <w:lvlJc w:val="left"/>
      <w:pPr>
        <w:ind w:left="900" w:hanging="420"/>
      </w:pPr>
      <w:rPr>
        <w:rFonts w:hint="eastAsia"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9">
    <w:nsid w:val="2CB2662F"/>
    <w:multiLevelType w:val="multilevel"/>
    <w:tmpl w:val="2CB2662F"/>
    <w:lvl w:ilvl="0" w:tentative="0">
      <w:start w:val="1"/>
      <w:numFmt w:val="decimal"/>
      <w:pStyle w:val="5"/>
      <w:lvlText w:val="%1."/>
      <w:lvlJc w:val="left"/>
      <w:pPr>
        <w:ind w:left="620" w:hanging="420"/>
      </w:pPr>
      <w:rPr>
        <w:rFonts w:hint="eastAsia" w:ascii="黑体" w:hAnsi="黑体" w:eastAsia="黑体" w:cs="Times New Roman"/>
        <w:sz w:val="24"/>
        <w:szCs w:val="24"/>
      </w:rPr>
    </w:lvl>
    <w:lvl w:ilvl="1" w:tentative="0">
      <w:start w:val="1"/>
      <w:numFmt w:val="lowerLetter"/>
      <w:lvlText w:val="%2)"/>
      <w:lvlJc w:val="left"/>
      <w:pPr>
        <w:ind w:left="1040" w:hanging="420"/>
      </w:pPr>
      <w:rPr>
        <w:rFonts w:cs="Times New Roman"/>
      </w:rPr>
    </w:lvl>
    <w:lvl w:ilvl="2" w:tentative="0">
      <w:start w:val="1"/>
      <w:numFmt w:val="lowerRoman"/>
      <w:lvlText w:val="%3."/>
      <w:lvlJc w:val="right"/>
      <w:pPr>
        <w:ind w:left="1460" w:hanging="420"/>
      </w:pPr>
      <w:rPr>
        <w:rFonts w:cs="Times New Roman"/>
      </w:rPr>
    </w:lvl>
    <w:lvl w:ilvl="3" w:tentative="0">
      <w:start w:val="1"/>
      <w:numFmt w:val="decimal"/>
      <w:lvlText w:val="%4."/>
      <w:lvlJc w:val="left"/>
      <w:pPr>
        <w:ind w:left="1880" w:hanging="420"/>
      </w:pPr>
      <w:rPr>
        <w:rFonts w:cs="Times New Roman"/>
      </w:rPr>
    </w:lvl>
    <w:lvl w:ilvl="4" w:tentative="0">
      <w:start w:val="1"/>
      <w:numFmt w:val="lowerLetter"/>
      <w:lvlText w:val="%5)"/>
      <w:lvlJc w:val="left"/>
      <w:pPr>
        <w:ind w:left="2300" w:hanging="420"/>
      </w:pPr>
      <w:rPr>
        <w:rFonts w:cs="Times New Roman"/>
      </w:rPr>
    </w:lvl>
    <w:lvl w:ilvl="5" w:tentative="0">
      <w:start w:val="1"/>
      <w:numFmt w:val="lowerRoman"/>
      <w:lvlText w:val="%6."/>
      <w:lvlJc w:val="right"/>
      <w:pPr>
        <w:ind w:left="2720" w:hanging="420"/>
      </w:pPr>
      <w:rPr>
        <w:rFonts w:cs="Times New Roman"/>
      </w:rPr>
    </w:lvl>
    <w:lvl w:ilvl="6" w:tentative="0">
      <w:start w:val="1"/>
      <w:numFmt w:val="decimal"/>
      <w:lvlText w:val="%7."/>
      <w:lvlJc w:val="left"/>
      <w:pPr>
        <w:ind w:left="3140" w:hanging="420"/>
      </w:pPr>
      <w:rPr>
        <w:rFonts w:cs="Times New Roman"/>
      </w:rPr>
    </w:lvl>
    <w:lvl w:ilvl="7" w:tentative="0">
      <w:start w:val="1"/>
      <w:numFmt w:val="lowerLetter"/>
      <w:lvlText w:val="%8)"/>
      <w:lvlJc w:val="left"/>
      <w:pPr>
        <w:ind w:left="3560" w:hanging="420"/>
      </w:pPr>
      <w:rPr>
        <w:rFonts w:cs="Times New Roman"/>
      </w:rPr>
    </w:lvl>
    <w:lvl w:ilvl="8" w:tentative="0">
      <w:start w:val="1"/>
      <w:numFmt w:val="lowerRoman"/>
      <w:lvlText w:val="%9."/>
      <w:lvlJc w:val="right"/>
      <w:pPr>
        <w:ind w:left="3980" w:hanging="420"/>
      </w:pPr>
      <w:rPr>
        <w:rFonts w:cs="Times New Roman"/>
      </w:rPr>
    </w:lvl>
  </w:abstractNum>
  <w:abstractNum w:abstractNumId="10">
    <w:nsid w:val="3581463A"/>
    <w:multiLevelType w:val="multilevel"/>
    <w:tmpl w:val="358146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B7E1BC3"/>
    <w:multiLevelType w:val="multilevel"/>
    <w:tmpl w:val="3B7E1BC3"/>
    <w:lvl w:ilvl="0" w:tentative="0">
      <w:start w:val="1"/>
      <w:numFmt w:val="decimal"/>
      <w:lvlText w:val="%1."/>
      <w:lvlJc w:val="left"/>
      <w:pPr>
        <w:ind w:left="987" w:hanging="420"/>
      </w:pPr>
      <w:rPr>
        <w:rFonts w:hint="eastAsia" w:ascii="黑体" w:hAnsi="黑体" w:eastAsia="黑体" w:cs="Times New Roman"/>
        <w:sz w:val="24"/>
        <w:szCs w:val="24"/>
      </w:rPr>
    </w:lvl>
    <w:lvl w:ilvl="1" w:tentative="0">
      <w:start w:val="1"/>
      <w:numFmt w:val="lowerLetter"/>
      <w:lvlText w:val="%2)"/>
      <w:lvlJc w:val="left"/>
      <w:pPr>
        <w:ind w:left="1407" w:hanging="420"/>
      </w:pPr>
      <w:rPr>
        <w:rFonts w:cs="Times New Roman"/>
      </w:rPr>
    </w:lvl>
    <w:lvl w:ilvl="2" w:tentative="0">
      <w:start w:val="1"/>
      <w:numFmt w:val="lowerRoman"/>
      <w:lvlText w:val="%3."/>
      <w:lvlJc w:val="right"/>
      <w:pPr>
        <w:ind w:left="1827" w:hanging="420"/>
      </w:pPr>
      <w:rPr>
        <w:rFonts w:cs="Times New Roman"/>
      </w:rPr>
    </w:lvl>
    <w:lvl w:ilvl="3" w:tentative="0">
      <w:start w:val="1"/>
      <w:numFmt w:val="decimal"/>
      <w:lvlText w:val="%4."/>
      <w:lvlJc w:val="left"/>
      <w:pPr>
        <w:ind w:left="2247" w:hanging="420"/>
      </w:pPr>
      <w:rPr>
        <w:rFonts w:cs="Times New Roman"/>
      </w:rPr>
    </w:lvl>
    <w:lvl w:ilvl="4" w:tentative="0">
      <w:start w:val="1"/>
      <w:numFmt w:val="lowerLetter"/>
      <w:lvlText w:val="%5)"/>
      <w:lvlJc w:val="left"/>
      <w:pPr>
        <w:ind w:left="2667" w:hanging="420"/>
      </w:pPr>
      <w:rPr>
        <w:rFonts w:cs="Times New Roman"/>
      </w:rPr>
    </w:lvl>
    <w:lvl w:ilvl="5" w:tentative="0">
      <w:start w:val="1"/>
      <w:numFmt w:val="lowerRoman"/>
      <w:lvlText w:val="%6."/>
      <w:lvlJc w:val="right"/>
      <w:pPr>
        <w:ind w:left="3087" w:hanging="420"/>
      </w:pPr>
      <w:rPr>
        <w:rFonts w:cs="Times New Roman"/>
      </w:rPr>
    </w:lvl>
    <w:lvl w:ilvl="6" w:tentative="0">
      <w:start w:val="1"/>
      <w:numFmt w:val="decimal"/>
      <w:lvlText w:val="%7."/>
      <w:lvlJc w:val="left"/>
      <w:pPr>
        <w:ind w:left="3507" w:hanging="420"/>
      </w:pPr>
      <w:rPr>
        <w:rFonts w:cs="Times New Roman"/>
      </w:rPr>
    </w:lvl>
    <w:lvl w:ilvl="7" w:tentative="0">
      <w:start w:val="1"/>
      <w:numFmt w:val="lowerLetter"/>
      <w:lvlText w:val="%8)"/>
      <w:lvlJc w:val="left"/>
      <w:pPr>
        <w:ind w:left="3927" w:hanging="420"/>
      </w:pPr>
      <w:rPr>
        <w:rFonts w:cs="Times New Roman"/>
      </w:rPr>
    </w:lvl>
    <w:lvl w:ilvl="8" w:tentative="0">
      <w:start w:val="1"/>
      <w:numFmt w:val="lowerRoman"/>
      <w:lvlText w:val="%9."/>
      <w:lvlJc w:val="right"/>
      <w:pPr>
        <w:ind w:left="4347" w:hanging="420"/>
      </w:pPr>
      <w:rPr>
        <w:rFonts w:cs="Times New Roman"/>
      </w:rPr>
    </w:lvl>
  </w:abstractNum>
  <w:abstractNum w:abstractNumId="12">
    <w:nsid w:val="3C6120EC"/>
    <w:multiLevelType w:val="multilevel"/>
    <w:tmpl w:val="3C6120EC"/>
    <w:lvl w:ilvl="0" w:tentative="0">
      <w:start w:val="1"/>
      <w:numFmt w:val="chineseCountingThousand"/>
      <w:pStyle w:val="2"/>
      <w:lvlText w:val="第%1章"/>
      <w:lvlJc w:val="center"/>
      <w:pPr>
        <w:tabs>
          <w:tab w:val="left" w:pos="1134"/>
        </w:tabs>
        <w:ind w:left="454" w:hanging="166"/>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3">
    <w:nsid w:val="41EE03A8"/>
    <w:multiLevelType w:val="multilevel"/>
    <w:tmpl w:val="41EE03A8"/>
    <w:lvl w:ilvl="0" w:tentative="0">
      <w:start w:val="1"/>
      <w:numFmt w:val="decimal"/>
      <w:lvlText w:val="%1."/>
      <w:lvlJc w:val="left"/>
      <w:pPr>
        <w:ind w:left="900" w:hanging="420"/>
      </w:pPr>
      <w:rPr>
        <w:rFonts w:cs="Times New Roman"/>
      </w:rPr>
    </w:lvl>
    <w:lvl w:ilvl="1" w:tentative="0">
      <w:start w:val="1"/>
      <w:numFmt w:val="decimal"/>
      <w:lvlText w:val="%2."/>
      <w:lvlJc w:val="left"/>
      <w:pPr>
        <w:ind w:left="987" w:hanging="420"/>
      </w:pPr>
      <w:rPr>
        <w:rFonts w:hint="eastAsia" w:ascii="黑体" w:hAnsi="黑体" w:eastAsia="黑体" w:cs="Times New Roman"/>
        <w:sz w:val="24"/>
        <w:szCs w:val="24"/>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4">
    <w:nsid w:val="48C318D4"/>
    <w:multiLevelType w:val="singleLevel"/>
    <w:tmpl w:val="48C318D4"/>
    <w:lvl w:ilvl="0" w:tentative="0">
      <w:start w:val="1"/>
      <w:numFmt w:val="chineseCountingThousand"/>
      <w:pStyle w:val="115"/>
      <w:lvlText w:val="第%1条"/>
      <w:lvlJc w:val="left"/>
      <w:pPr>
        <w:tabs>
          <w:tab w:val="left" w:pos="2681"/>
        </w:tabs>
        <w:ind w:left="1106" w:firstLine="454"/>
      </w:pPr>
      <w:rPr>
        <w:rFonts w:hint="eastAsia" w:ascii="黑体" w:hAnsi="黑体" w:eastAsia="黑体" w:cs="Times New Roman"/>
        <w:b w:val="0"/>
        <w:sz w:val="28"/>
        <w:szCs w:val="28"/>
      </w:rPr>
    </w:lvl>
  </w:abstractNum>
  <w:abstractNum w:abstractNumId="15">
    <w:nsid w:val="4EB94350"/>
    <w:multiLevelType w:val="multilevel"/>
    <w:tmpl w:val="4EB94350"/>
    <w:lvl w:ilvl="0" w:tentative="0">
      <w:start w:val="1"/>
      <w:numFmt w:val="chineseCountingThousand"/>
      <w:pStyle w:val="3"/>
      <w:suff w:val="space"/>
      <w:lvlText w:val="第%1条"/>
      <w:lvlJc w:val="left"/>
      <w:pPr>
        <w:ind w:left="840" w:hanging="420"/>
      </w:pPr>
      <w:rPr>
        <w:rFonts w:hint="eastAsia" w:ascii="黑体" w:hAnsi="黑体" w:eastAsia="黑体" w:cs="Times New Roman"/>
        <w:b w:val="0"/>
        <w:sz w:val="28"/>
        <w:szCs w:val="28"/>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16">
    <w:nsid w:val="5015740E"/>
    <w:multiLevelType w:val="multilevel"/>
    <w:tmpl w:val="5015740E"/>
    <w:lvl w:ilvl="0" w:tentative="0">
      <w:start w:val="1"/>
      <w:numFmt w:val="lowerLetter"/>
      <w:lvlText w:val="%1."/>
      <w:lvlJc w:val="left"/>
      <w:pPr>
        <w:ind w:left="1320" w:hanging="420"/>
      </w:pPr>
      <w:rPr>
        <w:rFonts w:hint="eastAsia" w:cs="Times New Roman"/>
      </w:rPr>
    </w:lvl>
    <w:lvl w:ilvl="1" w:tentative="0">
      <w:start w:val="1"/>
      <w:numFmt w:val="lowerLetter"/>
      <w:lvlText w:val="%2)"/>
      <w:lvlJc w:val="left"/>
      <w:pPr>
        <w:ind w:left="1740" w:hanging="420"/>
      </w:pPr>
      <w:rPr>
        <w:rFonts w:cs="Times New Roman"/>
      </w:rPr>
    </w:lvl>
    <w:lvl w:ilvl="2" w:tentative="0">
      <w:start w:val="1"/>
      <w:numFmt w:val="lowerRoman"/>
      <w:lvlText w:val="%3."/>
      <w:lvlJc w:val="right"/>
      <w:pPr>
        <w:ind w:left="2160" w:hanging="420"/>
      </w:pPr>
      <w:rPr>
        <w:rFonts w:cs="Times New Roman"/>
      </w:rPr>
    </w:lvl>
    <w:lvl w:ilvl="3" w:tentative="0">
      <w:start w:val="1"/>
      <w:numFmt w:val="decimal"/>
      <w:lvlText w:val="%4."/>
      <w:lvlJc w:val="left"/>
      <w:pPr>
        <w:ind w:left="2580" w:hanging="420"/>
      </w:pPr>
      <w:rPr>
        <w:rFonts w:cs="Times New Roman"/>
      </w:rPr>
    </w:lvl>
    <w:lvl w:ilvl="4" w:tentative="0">
      <w:start w:val="1"/>
      <w:numFmt w:val="lowerLetter"/>
      <w:lvlText w:val="%5)"/>
      <w:lvlJc w:val="left"/>
      <w:pPr>
        <w:ind w:left="3000" w:hanging="420"/>
      </w:pPr>
      <w:rPr>
        <w:rFonts w:cs="Times New Roman"/>
      </w:rPr>
    </w:lvl>
    <w:lvl w:ilvl="5" w:tentative="0">
      <w:start w:val="1"/>
      <w:numFmt w:val="lowerRoman"/>
      <w:lvlText w:val="%6."/>
      <w:lvlJc w:val="right"/>
      <w:pPr>
        <w:ind w:left="3420" w:hanging="420"/>
      </w:pPr>
      <w:rPr>
        <w:rFonts w:cs="Times New Roman"/>
      </w:rPr>
    </w:lvl>
    <w:lvl w:ilvl="6" w:tentative="0">
      <w:start w:val="1"/>
      <w:numFmt w:val="decimal"/>
      <w:lvlText w:val="%7."/>
      <w:lvlJc w:val="left"/>
      <w:pPr>
        <w:ind w:left="3840" w:hanging="420"/>
      </w:pPr>
      <w:rPr>
        <w:rFonts w:cs="Times New Roman"/>
      </w:rPr>
    </w:lvl>
    <w:lvl w:ilvl="7" w:tentative="0">
      <w:start w:val="1"/>
      <w:numFmt w:val="lowerLetter"/>
      <w:lvlText w:val="%8)"/>
      <w:lvlJc w:val="left"/>
      <w:pPr>
        <w:ind w:left="4260" w:hanging="420"/>
      </w:pPr>
      <w:rPr>
        <w:rFonts w:cs="Times New Roman"/>
      </w:rPr>
    </w:lvl>
    <w:lvl w:ilvl="8" w:tentative="0">
      <w:start w:val="1"/>
      <w:numFmt w:val="lowerRoman"/>
      <w:lvlText w:val="%9."/>
      <w:lvlJc w:val="right"/>
      <w:pPr>
        <w:ind w:left="4680" w:hanging="420"/>
      </w:pPr>
      <w:rPr>
        <w:rFonts w:cs="Times New Roman"/>
      </w:rPr>
    </w:lvl>
  </w:abstractNum>
  <w:abstractNum w:abstractNumId="17">
    <w:nsid w:val="51044945"/>
    <w:multiLevelType w:val="multilevel"/>
    <w:tmpl w:val="51044945"/>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8">
    <w:nsid w:val="53C0407B"/>
    <w:multiLevelType w:val="singleLevel"/>
    <w:tmpl w:val="53C0407B"/>
    <w:lvl w:ilvl="0" w:tentative="0">
      <w:start w:val="1"/>
      <w:numFmt w:val="chineseCountingThousand"/>
      <w:pStyle w:val="120"/>
      <w:lvlText w:val="第%1条"/>
      <w:lvlJc w:val="left"/>
      <w:pPr>
        <w:tabs>
          <w:tab w:val="left" w:pos="2681"/>
        </w:tabs>
        <w:ind w:left="1106" w:firstLine="454"/>
      </w:pPr>
      <w:rPr>
        <w:rFonts w:hint="eastAsia" w:ascii="黑体" w:hAnsi="黑体" w:eastAsia="黑体" w:cs="Times New Roman"/>
        <w:b w:val="0"/>
        <w:sz w:val="28"/>
        <w:szCs w:val="28"/>
      </w:rPr>
    </w:lvl>
  </w:abstractNum>
  <w:abstractNum w:abstractNumId="19">
    <w:nsid w:val="5EA2472D"/>
    <w:multiLevelType w:val="multilevel"/>
    <w:tmpl w:val="5EA2472D"/>
    <w:lvl w:ilvl="0" w:tentative="0">
      <w:start w:val="1"/>
      <w:numFmt w:val="decimal"/>
      <w:lvlText w:val="%1."/>
      <w:lvlJc w:val="left"/>
      <w:pPr>
        <w:ind w:left="987" w:hanging="420"/>
      </w:pPr>
      <w:rPr>
        <w:rFonts w:hint="eastAsia" w:ascii="黑体" w:hAnsi="黑体" w:eastAsia="黑体" w:cs="Times New Roman"/>
        <w:sz w:val="24"/>
        <w:szCs w:val="24"/>
      </w:rPr>
    </w:lvl>
    <w:lvl w:ilvl="1" w:tentative="0">
      <w:start w:val="1"/>
      <w:numFmt w:val="lowerLetter"/>
      <w:lvlText w:val="%2)"/>
      <w:lvlJc w:val="left"/>
      <w:pPr>
        <w:ind w:left="1407" w:hanging="420"/>
      </w:pPr>
      <w:rPr>
        <w:rFonts w:cs="Times New Roman"/>
      </w:rPr>
    </w:lvl>
    <w:lvl w:ilvl="2" w:tentative="0">
      <w:start w:val="1"/>
      <w:numFmt w:val="lowerRoman"/>
      <w:lvlText w:val="%3."/>
      <w:lvlJc w:val="right"/>
      <w:pPr>
        <w:ind w:left="1827" w:hanging="420"/>
      </w:pPr>
      <w:rPr>
        <w:rFonts w:cs="Times New Roman"/>
      </w:rPr>
    </w:lvl>
    <w:lvl w:ilvl="3" w:tentative="0">
      <w:start w:val="1"/>
      <w:numFmt w:val="decimal"/>
      <w:lvlText w:val="%4."/>
      <w:lvlJc w:val="left"/>
      <w:pPr>
        <w:ind w:left="2247" w:hanging="420"/>
      </w:pPr>
      <w:rPr>
        <w:rFonts w:cs="Times New Roman"/>
      </w:rPr>
    </w:lvl>
    <w:lvl w:ilvl="4" w:tentative="0">
      <w:start w:val="1"/>
      <w:numFmt w:val="lowerLetter"/>
      <w:lvlText w:val="%5)"/>
      <w:lvlJc w:val="left"/>
      <w:pPr>
        <w:ind w:left="2667" w:hanging="420"/>
      </w:pPr>
      <w:rPr>
        <w:rFonts w:cs="Times New Roman"/>
      </w:rPr>
    </w:lvl>
    <w:lvl w:ilvl="5" w:tentative="0">
      <w:start w:val="1"/>
      <w:numFmt w:val="lowerRoman"/>
      <w:lvlText w:val="%6."/>
      <w:lvlJc w:val="right"/>
      <w:pPr>
        <w:ind w:left="3087" w:hanging="420"/>
      </w:pPr>
      <w:rPr>
        <w:rFonts w:cs="Times New Roman"/>
      </w:rPr>
    </w:lvl>
    <w:lvl w:ilvl="6" w:tentative="0">
      <w:start w:val="1"/>
      <w:numFmt w:val="decimal"/>
      <w:lvlText w:val="%7."/>
      <w:lvlJc w:val="left"/>
      <w:pPr>
        <w:ind w:left="3507" w:hanging="420"/>
      </w:pPr>
      <w:rPr>
        <w:rFonts w:cs="Times New Roman"/>
      </w:rPr>
    </w:lvl>
    <w:lvl w:ilvl="7" w:tentative="0">
      <w:start w:val="1"/>
      <w:numFmt w:val="lowerLetter"/>
      <w:lvlText w:val="%8)"/>
      <w:lvlJc w:val="left"/>
      <w:pPr>
        <w:ind w:left="3927" w:hanging="420"/>
      </w:pPr>
      <w:rPr>
        <w:rFonts w:cs="Times New Roman"/>
      </w:rPr>
    </w:lvl>
    <w:lvl w:ilvl="8" w:tentative="0">
      <w:start w:val="1"/>
      <w:numFmt w:val="lowerRoman"/>
      <w:lvlText w:val="%9."/>
      <w:lvlJc w:val="right"/>
      <w:pPr>
        <w:ind w:left="4347" w:hanging="420"/>
      </w:pPr>
      <w:rPr>
        <w:rFonts w:cs="Times New Roman"/>
      </w:rPr>
    </w:lvl>
  </w:abstractNum>
  <w:abstractNum w:abstractNumId="20">
    <w:nsid w:val="5F921E69"/>
    <w:multiLevelType w:val="multilevel"/>
    <w:tmpl w:val="5F921E69"/>
    <w:lvl w:ilvl="0" w:tentative="0">
      <w:start w:val="1"/>
      <w:numFmt w:val="decimal"/>
      <w:lvlText w:val="%1."/>
      <w:lvlJc w:val="left"/>
      <w:pPr>
        <w:ind w:left="987" w:hanging="420"/>
      </w:pPr>
      <w:rPr>
        <w:rFonts w:hint="eastAsia" w:ascii="黑体" w:hAnsi="黑体" w:eastAsia="黑体" w:cs="Times New Roman"/>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1">
    <w:nsid w:val="61E7263C"/>
    <w:multiLevelType w:val="multilevel"/>
    <w:tmpl w:val="61E7263C"/>
    <w:lvl w:ilvl="0" w:tentative="0">
      <w:start w:val="1"/>
      <w:numFmt w:val="decimal"/>
      <w:lvlText w:val="%1."/>
      <w:lvlJc w:val="left"/>
      <w:pPr>
        <w:ind w:left="1129" w:hanging="420"/>
      </w:pPr>
      <w:rPr>
        <w:rFonts w:hint="eastAsia" w:ascii="黑体" w:hAnsi="黑体" w:eastAsia="黑体" w:cs="Times New Roman"/>
        <w:sz w:val="24"/>
        <w:szCs w:val="24"/>
      </w:rPr>
    </w:lvl>
    <w:lvl w:ilvl="1" w:tentative="0">
      <w:start w:val="1"/>
      <w:numFmt w:val="lowerLetter"/>
      <w:lvlText w:val="%2)"/>
      <w:lvlJc w:val="left"/>
      <w:pPr>
        <w:ind w:left="1549" w:hanging="420"/>
      </w:pPr>
      <w:rPr>
        <w:rFonts w:cs="Times New Roman"/>
      </w:rPr>
    </w:lvl>
    <w:lvl w:ilvl="2" w:tentative="0">
      <w:start w:val="1"/>
      <w:numFmt w:val="lowerRoman"/>
      <w:lvlText w:val="%3."/>
      <w:lvlJc w:val="right"/>
      <w:pPr>
        <w:ind w:left="1969" w:hanging="420"/>
      </w:pPr>
      <w:rPr>
        <w:rFonts w:cs="Times New Roman"/>
      </w:rPr>
    </w:lvl>
    <w:lvl w:ilvl="3" w:tentative="0">
      <w:start w:val="1"/>
      <w:numFmt w:val="decimal"/>
      <w:lvlText w:val="%4."/>
      <w:lvlJc w:val="left"/>
      <w:pPr>
        <w:ind w:left="2389" w:hanging="420"/>
      </w:pPr>
      <w:rPr>
        <w:rFonts w:cs="Times New Roman"/>
      </w:rPr>
    </w:lvl>
    <w:lvl w:ilvl="4" w:tentative="0">
      <w:start w:val="1"/>
      <w:numFmt w:val="lowerLetter"/>
      <w:lvlText w:val="%5)"/>
      <w:lvlJc w:val="left"/>
      <w:pPr>
        <w:ind w:left="2809" w:hanging="420"/>
      </w:pPr>
      <w:rPr>
        <w:rFonts w:cs="Times New Roman"/>
      </w:rPr>
    </w:lvl>
    <w:lvl w:ilvl="5" w:tentative="0">
      <w:start w:val="1"/>
      <w:numFmt w:val="lowerRoman"/>
      <w:lvlText w:val="%6."/>
      <w:lvlJc w:val="right"/>
      <w:pPr>
        <w:ind w:left="3229" w:hanging="420"/>
      </w:pPr>
      <w:rPr>
        <w:rFonts w:cs="Times New Roman"/>
      </w:rPr>
    </w:lvl>
    <w:lvl w:ilvl="6" w:tentative="0">
      <w:start w:val="1"/>
      <w:numFmt w:val="decimal"/>
      <w:lvlText w:val="%7."/>
      <w:lvlJc w:val="left"/>
      <w:pPr>
        <w:ind w:left="3649" w:hanging="420"/>
      </w:pPr>
      <w:rPr>
        <w:rFonts w:cs="Times New Roman"/>
      </w:rPr>
    </w:lvl>
    <w:lvl w:ilvl="7" w:tentative="0">
      <w:start w:val="1"/>
      <w:numFmt w:val="lowerLetter"/>
      <w:lvlText w:val="%8)"/>
      <w:lvlJc w:val="left"/>
      <w:pPr>
        <w:ind w:left="4069" w:hanging="420"/>
      </w:pPr>
      <w:rPr>
        <w:rFonts w:cs="Times New Roman"/>
      </w:rPr>
    </w:lvl>
    <w:lvl w:ilvl="8" w:tentative="0">
      <w:start w:val="1"/>
      <w:numFmt w:val="lowerRoman"/>
      <w:lvlText w:val="%9."/>
      <w:lvlJc w:val="right"/>
      <w:pPr>
        <w:ind w:left="4489" w:hanging="420"/>
      </w:pPr>
      <w:rPr>
        <w:rFonts w:cs="Times New Roman"/>
      </w:rPr>
    </w:lvl>
  </w:abstractNum>
  <w:abstractNum w:abstractNumId="22">
    <w:nsid w:val="69EB2B88"/>
    <w:multiLevelType w:val="singleLevel"/>
    <w:tmpl w:val="69EB2B88"/>
    <w:lvl w:ilvl="0" w:tentative="0">
      <w:start w:val="1"/>
      <w:numFmt w:val="chineseCountingThousand"/>
      <w:pStyle w:val="112"/>
      <w:lvlText w:val="第%1条"/>
      <w:lvlJc w:val="left"/>
      <w:pPr>
        <w:tabs>
          <w:tab w:val="left" w:pos="2681"/>
        </w:tabs>
        <w:ind w:left="1106" w:firstLine="454"/>
      </w:pPr>
      <w:rPr>
        <w:rFonts w:hint="eastAsia" w:ascii="黑体" w:hAnsi="黑体" w:eastAsia="黑体" w:cs="Times New Roman"/>
        <w:b w:val="0"/>
        <w:sz w:val="28"/>
        <w:szCs w:val="28"/>
      </w:rPr>
    </w:lvl>
  </w:abstractNum>
  <w:abstractNum w:abstractNumId="23">
    <w:nsid w:val="6CDD351F"/>
    <w:multiLevelType w:val="multilevel"/>
    <w:tmpl w:val="6CDD351F"/>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4">
    <w:nsid w:val="76642602"/>
    <w:multiLevelType w:val="multilevel"/>
    <w:tmpl w:val="76642602"/>
    <w:lvl w:ilvl="0" w:tentative="0">
      <w:start w:val="1"/>
      <w:numFmt w:val="decimal"/>
      <w:pStyle w:val="54"/>
      <w:lvlText w:val="%1."/>
      <w:lvlJc w:val="left"/>
      <w:pPr>
        <w:ind w:left="988" w:hanging="420"/>
      </w:pPr>
      <w:rPr>
        <w:rFonts w:hint="eastAsia" w:cs="Times New Roman"/>
      </w:rPr>
    </w:lvl>
    <w:lvl w:ilvl="1" w:tentative="0">
      <w:start w:val="1"/>
      <w:numFmt w:val="lowerLetter"/>
      <w:lvlText w:val="%2)"/>
      <w:lvlJc w:val="left"/>
      <w:pPr>
        <w:ind w:left="1408" w:hanging="420"/>
      </w:pPr>
      <w:rPr>
        <w:rFonts w:cs="Times New Roman"/>
      </w:rPr>
    </w:lvl>
    <w:lvl w:ilvl="2" w:tentative="0">
      <w:start w:val="1"/>
      <w:numFmt w:val="lowerRoman"/>
      <w:lvlText w:val="%3."/>
      <w:lvlJc w:val="right"/>
      <w:pPr>
        <w:ind w:left="1828" w:hanging="420"/>
      </w:pPr>
      <w:rPr>
        <w:rFonts w:cs="Times New Roman"/>
      </w:rPr>
    </w:lvl>
    <w:lvl w:ilvl="3" w:tentative="0">
      <w:start w:val="1"/>
      <w:numFmt w:val="decimal"/>
      <w:lvlText w:val="%4."/>
      <w:lvlJc w:val="left"/>
      <w:pPr>
        <w:ind w:left="2248" w:hanging="420"/>
      </w:pPr>
      <w:rPr>
        <w:rFonts w:cs="Times New Roman"/>
      </w:rPr>
    </w:lvl>
    <w:lvl w:ilvl="4" w:tentative="0">
      <w:start w:val="1"/>
      <w:numFmt w:val="lowerLetter"/>
      <w:lvlText w:val="%5)"/>
      <w:lvlJc w:val="left"/>
      <w:pPr>
        <w:ind w:left="2668" w:hanging="420"/>
      </w:pPr>
      <w:rPr>
        <w:rFonts w:cs="Times New Roman"/>
      </w:rPr>
    </w:lvl>
    <w:lvl w:ilvl="5" w:tentative="0">
      <w:start w:val="1"/>
      <w:numFmt w:val="lowerRoman"/>
      <w:lvlText w:val="%6."/>
      <w:lvlJc w:val="right"/>
      <w:pPr>
        <w:ind w:left="3088" w:hanging="420"/>
      </w:pPr>
      <w:rPr>
        <w:rFonts w:cs="Times New Roman"/>
      </w:rPr>
    </w:lvl>
    <w:lvl w:ilvl="6" w:tentative="0">
      <w:start w:val="1"/>
      <w:numFmt w:val="decimal"/>
      <w:lvlText w:val="%7."/>
      <w:lvlJc w:val="left"/>
      <w:pPr>
        <w:ind w:left="3508" w:hanging="420"/>
      </w:pPr>
      <w:rPr>
        <w:rFonts w:cs="Times New Roman"/>
      </w:rPr>
    </w:lvl>
    <w:lvl w:ilvl="7" w:tentative="0">
      <w:start w:val="1"/>
      <w:numFmt w:val="lowerLetter"/>
      <w:lvlText w:val="%8)"/>
      <w:lvlJc w:val="left"/>
      <w:pPr>
        <w:ind w:left="3928" w:hanging="420"/>
      </w:pPr>
      <w:rPr>
        <w:rFonts w:cs="Times New Roman"/>
      </w:rPr>
    </w:lvl>
    <w:lvl w:ilvl="8" w:tentative="0">
      <w:start w:val="1"/>
      <w:numFmt w:val="lowerRoman"/>
      <w:lvlText w:val="%9."/>
      <w:lvlJc w:val="right"/>
      <w:pPr>
        <w:ind w:left="4348" w:hanging="420"/>
      </w:pPr>
      <w:rPr>
        <w:rFonts w:cs="Times New Roman"/>
      </w:rPr>
    </w:lvl>
  </w:abstractNum>
  <w:abstractNum w:abstractNumId="25">
    <w:nsid w:val="7A09111D"/>
    <w:multiLevelType w:val="multilevel"/>
    <w:tmpl w:val="7A09111D"/>
    <w:lvl w:ilvl="0" w:tentative="0">
      <w:start w:val="1"/>
      <w:numFmt w:val="decimal"/>
      <w:lvlText w:val="（%1）"/>
      <w:lvlJc w:val="left"/>
      <w:pPr>
        <w:ind w:left="900" w:hanging="900"/>
      </w:pPr>
      <w:rPr>
        <w:rFonts w:hint="default" w:cs="Times New Roman"/>
      </w:rPr>
    </w:lvl>
    <w:lvl w:ilvl="1" w:tentative="0">
      <w:start w:val="1"/>
      <w:numFmt w:val="lowerLetter"/>
      <w:lvlText w:val="%2)"/>
      <w:lvlJc w:val="left"/>
      <w:pPr>
        <w:ind w:left="1320" w:hanging="420"/>
      </w:pPr>
      <w:rPr>
        <w:rFonts w:hint="eastAsia" w:cs="Times New Roman"/>
      </w:rPr>
    </w:lvl>
    <w:lvl w:ilvl="2" w:tentative="0">
      <w:start w:val="1"/>
      <w:numFmt w:val="lowerRoman"/>
      <w:lvlText w:val="%3."/>
      <w:lvlJc w:val="right"/>
      <w:pPr>
        <w:ind w:left="1740" w:hanging="420"/>
      </w:pPr>
      <w:rPr>
        <w:rFonts w:hint="eastAsia" w:cs="Times New Roman"/>
      </w:rPr>
    </w:lvl>
    <w:lvl w:ilvl="3" w:tentative="0">
      <w:start w:val="1"/>
      <w:numFmt w:val="decimal"/>
      <w:lvlText w:val="%4."/>
      <w:lvlJc w:val="left"/>
      <w:pPr>
        <w:ind w:left="2160" w:hanging="420"/>
      </w:pPr>
      <w:rPr>
        <w:rFonts w:hint="eastAsia" w:cs="Times New Roman"/>
      </w:rPr>
    </w:lvl>
    <w:lvl w:ilvl="4" w:tentative="0">
      <w:start w:val="1"/>
      <w:numFmt w:val="lowerLetter"/>
      <w:lvlText w:val="%5)"/>
      <w:lvlJc w:val="left"/>
      <w:pPr>
        <w:ind w:left="2580" w:hanging="420"/>
      </w:pPr>
      <w:rPr>
        <w:rFonts w:hint="eastAsia" w:cs="Times New Roman"/>
      </w:rPr>
    </w:lvl>
    <w:lvl w:ilvl="5" w:tentative="0">
      <w:start w:val="1"/>
      <w:numFmt w:val="lowerRoman"/>
      <w:lvlText w:val="%6."/>
      <w:lvlJc w:val="right"/>
      <w:pPr>
        <w:ind w:left="3000" w:hanging="420"/>
      </w:pPr>
      <w:rPr>
        <w:rFonts w:hint="eastAsia" w:cs="Times New Roman"/>
      </w:rPr>
    </w:lvl>
    <w:lvl w:ilvl="6" w:tentative="0">
      <w:start w:val="1"/>
      <w:numFmt w:val="decimal"/>
      <w:lvlText w:val="%7."/>
      <w:lvlJc w:val="left"/>
      <w:pPr>
        <w:ind w:left="3420" w:hanging="420"/>
      </w:pPr>
      <w:rPr>
        <w:rFonts w:hint="eastAsia" w:cs="Times New Roman"/>
      </w:rPr>
    </w:lvl>
    <w:lvl w:ilvl="7" w:tentative="0">
      <w:start w:val="1"/>
      <w:numFmt w:val="lowerLetter"/>
      <w:lvlText w:val="%8)"/>
      <w:lvlJc w:val="left"/>
      <w:pPr>
        <w:ind w:left="3840" w:hanging="420"/>
      </w:pPr>
      <w:rPr>
        <w:rFonts w:hint="eastAsia" w:cs="Times New Roman"/>
      </w:rPr>
    </w:lvl>
    <w:lvl w:ilvl="8" w:tentative="0">
      <w:start w:val="1"/>
      <w:numFmt w:val="lowerRoman"/>
      <w:lvlText w:val="%9."/>
      <w:lvlJc w:val="right"/>
      <w:pPr>
        <w:ind w:left="4260" w:hanging="420"/>
      </w:pPr>
      <w:rPr>
        <w:rFonts w:hint="eastAsia" w:cs="Times New Roman"/>
      </w:rPr>
    </w:lvl>
  </w:abstractNum>
  <w:num w:numId="1">
    <w:abstractNumId w:val="12"/>
  </w:num>
  <w:num w:numId="2">
    <w:abstractNumId w:val="15"/>
  </w:num>
  <w:num w:numId="3">
    <w:abstractNumId w:val="9"/>
  </w:num>
  <w:num w:numId="4">
    <w:abstractNumId w:val="6"/>
  </w:num>
  <w:num w:numId="5">
    <w:abstractNumId w:val="2"/>
  </w:num>
  <w:num w:numId="6">
    <w:abstractNumId w:val="24"/>
  </w:num>
  <w:num w:numId="7">
    <w:abstractNumId w:val="22"/>
  </w:num>
  <w:num w:numId="8">
    <w:abstractNumId w:val="14"/>
  </w:num>
  <w:num w:numId="9">
    <w:abstractNumId w:val="18"/>
  </w:num>
  <w:num w:numId="10">
    <w:abstractNumId w:val="10"/>
  </w:num>
  <w:num w:numId="11">
    <w:abstractNumId w:val="1"/>
  </w:num>
  <w:num w:numId="12">
    <w:abstractNumId w:val="11"/>
  </w:num>
  <w:num w:numId="13">
    <w:abstractNumId w:val="15"/>
    <w:lvlOverride w:ilvl="0">
      <w:startOverride w:val="1"/>
    </w:lvlOverride>
  </w:num>
  <w:num w:numId="14">
    <w:abstractNumId w:val="20"/>
  </w:num>
  <w:num w:numId="15">
    <w:abstractNumId w:val="15"/>
    <w:lvlOverride w:ilvl="0">
      <w:startOverride w:val="1"/>
    </w:lvlOverride>
  </w:num>
  <w:num w:numId="16">
    <w:abstractNumId w:val="19"/>
  </w:num>
  <w:num w:numId="17">
    <w:abstractNumId w:val="15"/>
    <w:lvlOverride w:ilvl="0">
      <w:startOverride w:val="1"/>
    </w:lvlOverride>
  </w:num>
  <w:num w:numId="18">
    <w:abstractNumId w:val="13"/>
  </w:num>
  <w:num w:numId="19">
    <w:abstractNumId w:val="21"/>
  </w:num>
  <w:num w:numId="20">
    <w:abstractNumId w:val="5"/>
  </w:num>
  <w:num w:numId="21">
    <w:abstractNumId w:val="7"/>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2"/>
    <w:lvlOverride w:ilvl="0">
      <w:startOverride w:val="1"/>
    </w:lvlOverride>
  </w:num>
  <w:num w:numId="28">
    <w:abstractNumId w:val="15"/>
    <w:lvlOverride w:ilvl="0">
      <w:startOverride w:val="1"/>
    </w:lvlOverride>
  </w:num>
  <w:num w:numId="29">
    <w:abstractNumId w:val="9"/>
    <w:lvlOverride w:ilvl="0">
      <w:startOverride w:val="1"/>
    </w:lvlOverride>
  </w:num>
  <w:num w:numId="30">
    <w:abstractNumId w:val="15"/>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15"/>
    <w:lvlOverride w:ilvl="0">
      <w:startOverride w:val="1"/>
    </w:lvlOverride>
  </w:num>
  <w:num w:numId="34">
    <w:abstractNumId w:val="9"/>
    <w:lvlOverride w:ilvl="0">
      <w:startOverride w:val="1"/>
    </w:lvlOverride>
  </w:num>
  <w:num w:numId="35">
    <w:abstractNumId w:val="15"/>
    <w:lvlOverride w:ilvl="0">
      <w:startOverride w:val="1"/>
    </w:lvlOverride>
  </w:num>
  <w:num w:numId="36">
    <w:abstractNumId w:val="9"/>
    <w:lvlOverride w:ilvl="0">
      <w:startOverride w:val="1"/>
    </w:lvlOverride>
  </w:num>
  <w:num w:numId="37">
    <w:abstractNumId w:val="15"/>
    <w:lvlOverride w:ilvl="0">
      <w:startOverride w:val="1"/>
    </w:lvlOverride>
  </w:num>
  <w:num w:numId="38">
    <w:abstractNumId w:val="9"/>
    <w:lvlOverride w:ilvl="0">
      <w:startOverride w:val="1"/>
    </w:lvlOverride>
  </w:num>
  <w:num w:numId="39">
    <w:abstractNumId w:val="17"/>
  </w:num>
  <w:num w:numId="40">
    <w:abstractNumId w:val="4"/>
  </w:num>
  <w:num w:numId="41">
    <w:abstractNumId w:val="9"/>
    <w:lvlOverride w:ilvl="0">
      <w:startOverride w:val="1"/>
    </w:lvlOverride>
  </w:num>
  <w:num w:numId="42">
    <w:abstractNumId w:val="0"/>
  </w:num>
  <w:num w:numId="43">
    <w:abstractNumId w:val="6"/>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23"/>
  </w:num>
  <w:num w:numId="47">
    <w:abstractNumId w:val="25"/>
  </w:num>
  <w:num w:numId="48">
    <w:abstractNumId w:val="16"/>
  </w:num>
  <w:num w:numId="49">
    <w:abstractNumId w:val="8"/>
  </w:num>
  <w:num w:numId="50">
    <w:abstractNumId w:val="3"/>
  </w:num>
  <w:num w:numId="51">
    <w:abstractNumId w:val="6"/>
    <w:lvlOverride w:ilvl="0">
      <w:startOverride w:val="1"/>
    </w:lvlOverride>
  </w:num>
  <w:num w:numId="52">
    <w:abstractNumId w:val="15"/>
    <w:lvlOverride w:ilvl="0">
      <w:startOverride w:val="1"/>
    </w:lvlOverride>
  </w:num>
  <w:num w:numId="53">
    <w:abstractNumId w:val="15"/>
    <w:lvlOverride w:ilvl="0">
      <w:startOverride w:val="1"/>
    </w:lvlOverride>
  </w:num>
  <w:num w:numId="54">
    <w:abstractNumId w:val="9"/>
    <w:lvlOverride w:ilvl="0">
      <w:startOverride w:val="1"/>
    </w:lvlOverride>
  </w:num>
  <w:num w:numId="55">
    <w:abstractNumId w:val="9"/>
    <w:lvlOverride w:ilvl="0">
      <w:startOverride w:val="1"/>
    </w:lvlOverride>
  </w:num>
  <w:num w:numId="56">
    <w:abstractNumId w:val="15"/>
    <w:lvlOverride w:ilvl="0">
      <w:startOverride w:val="1"/>
    </w:lvlOverride>
  </w:num>
  <w:num w:numId="57">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37D3"/>
    <w:rsid w:val="0000066F"/>
    <w:rsid w:val="00000A03"/>
    <w:rsid w:val="000056E4"/>
    <w:rsid w:val="00005B1C"/>
    <w:rsid w:val="0000692E"/>
    <w:rsid w:val="00010E62"/>
    <w:rsid w:val="00011186"/>
    <w:rsid w:val="0001505A"/>
    <w:rsid w:val="00017A73"/>
    <w:rsid w:val="000202C3"/>
    <w:rsid w:val="000206D4"/>
    <w:rsid w:val="000215D7"/>
    <w:rsid w:val="00021604"/>
    <w:rsid w:val="00021F5A"/>
    <w:rsid w:val="0002326F"/>
    <w:rsid w:val="00023492"/>
    <w:rsid w:val="00023AF8"/>
    <w:rsid w:val="00023E60"/>
    <w:rsid w:val="0002639F"/>
    <w:rsid w:val="00026D5C"/>
    <w:rsid w:val="00027B93"/>
    <w:rsid w:val="000300E8"/>
    <w:rsid w:val="00032BF0"/>
    <w:rsid w:val="00033083"/>
    <w:rsid w:val="00034B7E"/>
    <w:rsid w:val="00035FBE"/>
    <w:rsid w:val="00036A18"/>
    <w:rsid w:val="00040EAB"/>
    <w:rsid w:val="000410C0"/>
    <w:rsid w:val="0004120F"/>
    <w:rsid w:val="00044DE1"/>
    <w:rsid w:val="000453F1"/>
    <w:rsid w:val="00045D54"/>
    <w:rsid w:val="00051E82"/>
    <w:rsid w:val="0005260D"/>
    <w:rsid w:val="00052A7C"/>
    <w:rsid w:val="00053B47"/>
    <w:rsid w:val="00054021"/>
    <w:rsid w:val="000553E3"/>
    <w:rsid w:val="000555AF"/>
    <w:rsid w:val="000609F7"/>
    <w:rsid w:val="0006294A"/>
    <w:rsid w:val="0006652B"/>
    <w:rsid w:val="0007074C"/>
    <w:rsid w:val="00076B65"/>
    <w:rsid w:val="00076D82"/>
    <w:rsid w:val="00076EE8"/>
    <w:rsid w:val="0008114E"/>
    <w:rsid w:val="00083087"/>
    <w:rsid w:val="000855D4"/>
    <w:rsid w:val="00090475"/>
    <w:rsid w:val="00090F3C"/>
    <w:rsid w:val="00091322"/>
    <w:rsid w:val="00093F4E"/>
    <w:rsid w:val="000944CE"/>
    <w:rsid w:val="00094EA9"/>
    <w:rsid w:val="000950E3"/>
    <w:rsid w:val="00095C95"/>
    <w:rsid w:val="000A1C8F"/>
    <w:rsid w:val="000A2A44"/>
    <w:rsid w:val="000A5B97"/>
    <w:rsid w:val="000B3398"/>
    <w:rsid w:val="000B36FE"/>
    <w:rsid w:val="000B60F3"/>
    <w:rsid w:val="000B6168"/>
    <w:rsid w:val="000B61C1"/>
    <w:rsid w:val="000C14F8"/>
    <w:rsid w:val="000C2956"/>
    <w:rsid w:val="000C760C"/>
    <w:rsid w:val="000D0271"/>
    <w:rsid w:val="000D4937"/>
    <w:rsid w:val="000E02E4"/>
    <w:rsid w:val="000E0708"/>
    <w:rsid w:val="000E22D5"/>
    <w:rsid w:val="000E5E11"/>
    <w:rsid w:val="000F2C05"/>
    <w:rsid w:val="000F6263"/>
    <w:rsid w:val="0010103B"/>
    <w:rsid w:val="00101EB1"/>
    <w:rsid w:val="001024E2"/>
    <w:rsid w:val="00102A7F"/>
    <w:rsid w:val="00103F45"/>
    <w:rsid w:val="00106B1E"/>
    <w:rsid w:val="001111D6"/>
    <w:rsid w:val="00112143"/>
    <w:rsid w:val="00113F49"/>
    <w:rsid w:val="00115F20"/>
    <w:rsid w:val="00120F76"/>
    <w:rsid w:val="00121053"/>
    <w:rsid w:val="0012372D"/>
    <w:rsid w:val="00123FD0"/>
    <w:rsid w:val="001242AE"/>
    <w:rsid w:val="00126C93"/>
    <w:rsid w:val="00126E3C"/>
    <w:rsid w:val="00130E9B"/>
    <w:rsid w:val="0013345D"/>
    <w:rsid w:val="00134992"/>
    <w:rsid w:val="001356A8"/>
    <w:rsid w:val="00135CBB"/>
    <w:rsid w:val="001361C5"/>
    <w:rsid w:val="00142ECD"/>
    <w:rsid w:val="00142F5A"/>
    <w:rsid w:val="00144490"/>
    <w:rsid w:val="00147328"/>
    <w:rsid w:val="00147D7A"/>
    <w:rsid w:val="001501F1"/>
    <w:rsid w:val="001508BC"/>
    <w:rsid w:val="00150F43"/>
    <w:rsid w:val="00150FED"/>
    <w:rsid w:val="00151CB9"/>
    <w:rsid w:val="001522E3"/>
    <w:rsid w:val="00154ADF"/>
    <w:rsid w:val="0015743A"/>
    <w:rsid w:val="00163139"/>
    <w:rsid w:val="00163932"/>
    <w:rsid w:val="00165C49"/>
    <w:rsid w:val="0016632A"/>
    <w:rsid w:val="00167ED4"/>
    <w:rsid w:val="0017560D"/>
    <w:rsid w:val="0017568D"/>
    <w:rsid w:val="001764C9"/>
    <w:rsid w:val="001772DF"/>
    <w:rsid w:val="0018034F"/>
    <w:rsid w:val="00180C92"/>
    <w:rsid w:val="00181FC9"/>
    <w:rsid w:val="0018452D"/>
    <w:rsid w:val="0018633F"/>
    <w:rsid w:val="0019449B"/>
    <w:rsid w:val="001A0AC5"/>
    <w:rsid w:val="001A10FB"/>
    <w:rsid w:val="001A18EE"/>
    <w:rsid w:val="001A21D6"/>
    <w:rsid w:val="001A3A96"/>
    <w:rsid w:val="001A3F9C"/>
    <w:rsid w:val="001A4FB0"/>
    <w:rsid w:val="001A7E16"/>
    <w:rsid w:val="001B2A16"/>
    <w:rsid w:val="001B304A"/>
    <w:rsid w:val="001B4AEE"/>
    <w:rsid w:val="001B6E5C"/>
    <w:rsid w:val="001B713A"/>
    <w:rsid w:val="001C00CF"/>
    <w:rsid w:val="001C37C0"/>
    <w:rsid w:val="001C684B"/>
    <w:rsid w:val="001D0327"/>
    <w:rsid w:val="001D41FF"/>
    <w:rsid w:val="001E0051"/>
    <w:rsid w:val="001E3F7A"/>
    <w:rsid w:val="001E46E7"/>
    <w:rsid w:val="001E4CE9"/>
    <w:rsid w:val="001E6DB1"/>
    <w:rsid w:val="001E71C3"/>
    <w:rsid w:val="001E7E4B"/>
    <w:rsid w:val="001F12A6"/>
    <w:rsid w:val="001F167D"/>
    <w:rsid w:val="001F2683"/>
    <w:rsid w:val="001F480E"/>
    <w:rsid w:val="001F66D7"/>
    <w:rsid w:val="001F6DD0"/>
    <w:rsid w:val="00201110"/>
    <w:rsid w:val="00201BE1"/>
    <w:rsid w:val="00201EBF"/>
    <w:rsid w:val="0020296D"/>
    <w:rsid w:val="00202E10"/>
    <w:rsid w:val="00205A9C"/>
    <w:rsid w:val="0020626D"/>
    <w:rsid w:val="002068A4"/>
    <w:rsid w:val="002110CB"/>
    <w:rsid w:val="0021160E"/>
    <w:rsid w:val="002152E4"/>
    <w:rsid w:val="00215BC4"/>
    <w:rsid w:val="00221AFD"/>
    <w:rsid w:val="00222C14"/>
    <w:rsid w:val="00223D31"/>
    <w:rsid w:val="00224AB0"/>
    <w:rsid w:val="002251E7"/>
    <w:rsid w:val="002270FA"/>
    <w:rsid w:val="0022745D"/>
    <w:rsid w:val="002276EE"/>
    <w:rsid w:val="00230F85"/>
    <w:rsid w:val="0023197F"/>
    <w:rsid w:val="00232871"/>
    <w:rsid w:val="0023369D"/>
    <w:rsid w:val="00235076"/>
    <w:rsid w:val="00236D65"/>
    <w:rsid w:val="00237E2D"/>
    <w:rsid w:val="002440E5"/>
    <w:rsid w:val="00244180"/>
    <w:rsid w:val="00245C4C"/>
    <w:rsid w:val="00245E1E"/>
    <w:rsid w:val="00246816"/>
    <w:rsid w:val="002514EF"/>
    <w:rsid w:val="00252AEC"/>
    <w:rsid w:val="00253464"/>
    <w:rsid w:val="00253B1C"/>
    <w:rsid w:val="002547D0"/>
    <w:rsid w:val="00256198"/>
    <w:rsid w:val="002602A5"/>
    <w:rsid w:val="00261793"/>
    <w:rsid w:val="002631A0"/>
    <w:rsid w:val="00264DC6"/>
    <w:rsid w:val="002651BC"/>
    <w:rsid w:val="002713EB"/>
    <w:rsid w:val="00271571"/>
    <w:rsid w:val="00273426"/>
    <w:rsid w:val="0028288D"/>
    <w:rsid w:val="00282F46"/>
    <w:rsid w:val="00284FBB"/>
    <w:rsid w:val="00285AFD"/>
    <w:rsid w:val="00286121"/>
    <w:rsid w:val="0028663F"/>
    <w:rsid w:val="00287637"/>
    <w:rsid w:val="002906E3"/>
    <w:rsid w:val="00291657"/>
    <w:rsid w:val="002947CC"/>
    <w:rsid w:val="002A4F8A"/>
    <w:rsid w:val="002B7714"/>
    <w:rsid w:val="002C0234"/>
    <w:rsid w:val="002C11EB"/>
    <w:rsid w:val="002C1AE3"/>
    <w:rsid w:val="002C263B"/>
    <w:rsid w:val="002C3F34"/>
    <w:rsid w:val="002D1BAB"/>
    <w:rsid w:val="002D44B5"/>
    <w:rsid w:val="002D5085"/>
    <w:rsid w:val="002E02E3"/>
    <w:rsid w:val="002F0871"/>
    <w:rsid w:val="002F26F3"/>
    <w:rsid w:val="002F270E"/>
    <w:rsid w:val="002F35B2"/>
    <w:rsid w:val="002F718A"/>
    <w:rsid w:val="00300D14"/>
    <w:rsid w:val="00304344"/>
    <w:rsid w:val="00305A27"/>
    <w:rsid w:val="003110BA"/>
    <w:rsid w:val="0031113D"/>
    <w:rsid w:val="00312BF8"/>
    <w:rsid w:val="00313FD7"/>
    <w:rsid w:val="00317711"/>
    <w:rsid w:val="00320634"/>
    <w:rsid w:val="003217DB"/>
    <w:rsid w:val="00321C0E"/>
    <w:rsid w:val="003250CC"/>
    <w:rsid w:val="00326E91"/>
    <w:rsid w:val="00331166"/>
    <w:rsid w:val="00331A4A"/>
    <w:rsid w:val="00333369"/>
    <w:rsid w:val="00335074"/>
    <w:rsid w:val="00335745"/>
    <w:rsid w:val="00340D72"/>
    <w:rsid w:val="00342BBA"/>
    <w:rsid w:val="00343AED"/>
    <w:rsid w:val="00345D76"/>
    <w:rsid w:val="00347F39"/>
    <w:rsid w:val="0035472E"/>
    <w:rsid w:val="00355992"/>
    <w:rsid w:val="0035626C"/>
    <w:rsid w:val="0036094C"/>
    <w:rsid w:val="00361EFA"/>
    <w:rsid w:val="00362113"/>
    <w:rsid w:val="0036283F"/>
    <w:rsid w:val="00363487"/>
    <w:rsid w:val="003634D4"/>
    <w:rsid w:val="003641A7"/>
    <w:rsid w:val="0036521F"/>
    <w:rsid w:val="003658E9"/>
    <w:rsid w:val="0036672B"/>
    <w:rsid w:val="00371BA1"/>
    <w:rsid w:val="00373904"/>
    <w:rsid w:val="00375A3C"/>
    <w:rsid w:val="00376F48"/>
    <w:rsid w:val="00380D78"/>
    <w:rsid w:val="00384550"/>
    <w:rsid w:val="00384C4E"/>
    <w:rsid w:val="00384EE8"/>
    <w:rsid w:val="00385DD7"/>
    <w:rsid w:val="00386A00"/>
    <w:rsid w:val="003877E4"/>
    <w:rsid w:val="003925D7"/>
    <w:rsid w:val="003933B5"/>
    <w:rsid w:val="00393548"/>
    <w:rsid w:val="0039397B"/>
    <w:rsid w:val="003940D6"/>
    <w:rsid w:val="00396174"/>
    <w:rsid w:val="00397504"/>
    <w:rsid w:val="0039793B"/>
    <w:rsid w:val="003A4536"/>
    <w:rsid w:val="003A4A56"/>
    <w:rsid w:val="003A5847"/>
    <w:rsid w:val="003A5FF7"/>
    <w:rsid w:val="003A6273"/>
    <w:rsid w:val="003B0049"/>
    <w:rsid w:val="003B11DC"/>
    <w:rsid w:val="003B27C1"/>
    <w:rsid w:val="003B2B4E"/>
    <w:rsid w:val="003B5764"/>
    <w:rsid w:val="003B661C"/>
    <w:rsid w:val="003B7384"/>
    <w:rsid w:val="003C3445"/>
    <w:rsid w:val="003D0498"/>
    <w:rsid w:val="003D0F3C"/>
    <w:rsid w:val="003D14CF"/>
    <w:rsid w:val="003D25AF"/>
    <w:rsid w:val="003D3035"/>
    <w:rsid w:val="003D63CA"/>
    <w:rsid w:val="003D6F79"/>
    <w:rsid w:val="003E08A9"/>
    <w:rsid w:val="003E2FBA"/>
    <w:rsid w:val="003F1DCC"/>
    <w:rsid w:val="003F2C47"/>
    <w:rsid w:val="003F7B04"/>
    <w:rsid w:val="0040085F"/>
    <w:rsid w:val="00403CED"/>
    <w:rsid w:val="004051ED"/>
    <w:rsid w:val="00413A8F"/>
    <w:rsid w:val="004144EB"/>
    <w:rsid w:val="00415F36"/>
    <w:rsid w:val="004235F7"/>
    <w:rsid w:val="004261FC"/>
    <w:rsid w:val="004300AA"/>
    <w:rsid w:val="00430C1F"/>
    <w:rsid w:val="004332E3"/>
    <w:rsid w:val="00434266"/>
    <w:rsid w:val="004344FE"/>
    <w:rsid w:val="00435E08"/>
    <w:rsid w:val="00435FDA"/>
    <w:rsid w:val="0044022E"/>
    <w:rsid w:val="00442A1F"/>
    <w:rsid w:val="00443749"/>
    <w:rsid w:val="004445AC"/>
    <w:rsid w:val="00446539"/>
    <w:rsid w:val="004477D5"/>
    <w:rsid w:val="00452266"/>
    <w:rsid w:val="0045600F"/>
    <w:rsid w:val="00456873"/>
    <w:rsid w:val="004607B2"/>
    <w:rsid w:val="00462F7F"/>
    <w:rsid w:val="00470E32"/>
    <w:rsid w:val="00470F43"/>
    <w:rsid w:val="00471945"/>
    <w:rsid w:val="00476E5D"/>
    <w:rsid w:val="004845D2"/>
    <w:rsid w:val="004866B9"/>
    <w:rsid w:val="00487CB9"/>
    <w:rsid w:val="004905CA"/>
    <w:rsid w:val="00492124"/>
    <w:rsid w:val="00493C4D"/>
    <w:rsid w:val="00494303"/>
    <w:rsid w:val="004947E5"/>
    <w:rsid w:val="004952F2"/>
    <w:rsid w:val="0049596F"/>
    <w:rsid w:val="0049606E"/>
    <w:rsid w:val="00496431"/>
    <w:rsid w:val="00497667"/>
    <w:rsid w:val="004A0FC9"/>
    <w:rsid w:val="004A3220"/>
    <w:rsid w:val="004A4D49"/>
    <w:rsid w:val="004A5A7F"/>
    <w:rsid w:val="004A5AE3"/>
    <w:rsid w:val="004A5C05"/>
    <w:rsid w:val="004A7141"/>
    <w:rsid w:val="004B0950"/>
    <w:rsid w:val="004B7EDB"/>
    <w:rsid w:val="004C6639"/>
    <w:rsid w:val="004C7AFA"/>
    <w:rsid w:val="004D4525"/>
    <w:rsid w:val="004D76B7"/>
    <w:rsid w:val="004E001C"/>
    <w:rsid w:val="004E374F"/>
    <w:rsid w:val="004E795B"/>
    <w:rsid w:val="004F1FD5"/>
    <w:rsid w:val="004F2E77"/>
    <w:rsid w:val="005016A0"/>
    <w:rsid w:val="00504739"/>
    <w:rsid w:val="00504DB1"/>
    <w:rsid w:val="005050FC"/>
    <w:rsid w:val="0050738B"/>
    <w:rsid w:val="005101B2"/>
    <w:rsid w:val="00511E0E"/>
    <w:rsid w:val="0051218D"/>
    <w:rsid w:val="00513BB7"/>
    <w:rsid w:val="00515405"/>
    <w:rsid w:val="00521651"/>
    <w:rsid w:val="00527FCE"/>
    <w:rsid w:val="005314AE"/>
    <w:rsid w:val="00531597"/>
    <w:rsid w:val="0054198B"/>
    <w:rsid w:val="00541DE7"/>
    <w:rsid w:val="005434F4"/>
    <w:rsid w:val="00544533"/>
    <w:rsid w:val="00545522"/>
    <w:rsid w:val="005461A8"/>
    <w:rsid w:val="00547E01"/>
    <w:rsid w:val="0055461E"/>
    <w:rsid w:val="00555718"/>
    <w:rsid w:val="005600E8"/>
    <w:rsid w:val="00561911"/>
    <w:rsid w:val="0056307D"/>
    <w:rsid w:val="005654CE"/>
    <w:rsid w:val="00571F67"/>
    <w:rsid w:val="00572B82"/>
    <w:rsid w:val="00575933"/>
    <w:rsid w:val="00577B64"/>
    <w:rsid w:val="005805D2"/>
    <w:rsid w:val="00585D93"/>
    <w:rsid w:val="00585E8A"/>
    <w:rsid w:val="0058685A"/>
    <w:rsid w:val="00587B44"/>
    <w:rsid w:val="0059016A"/>
    <w:rsid w:val="00591306"/>
    <w:rsid w:val="0059397C"/>
    <w:rsid w:val="005A058D"/>
    <w:rsid w:val="005A0C08"/>
    <w:rsid w:val="005A2084"/>
    <w:rsid w:val="005A6FF2"/>
    <w:rsid w:val="005B386E"/>
    <w:rsid w:val="005B647A"/>
    <w:rsid w:val="005B7415"/>
    <w:rsid w:val="005C1482"/>
    <w:rsid w:val="005D098B"/>
    <w:rsid w:val="005D0A3E"/>
    <w:rsid w:val="005D54A3"/>
    <w:rsid w:val="005D6B35"/>
    <w:rsid w:val="005E2290"/>
    <w:rsid w:val="005E340B"/>
    <w:rsid w:val="005E3BE8"/>
    <w:rsid w:val="005E748D"/>
    <w:rsid w:val="005F10FB"/>
    <w:rsid w:val="005F1611"/>
    <w:rsid w:val="005F1C30"/>
    <w:rsid w:val="005F1DF5"/>
    <w:rsid w:val="005F2047"/>
    <w:rsid w:val="005F2F93"/>
    <w:rsid w:val="005F42C3"/>
    <w:rsid w:val="00602D00"/>
    <w:rsid w:val="00610F90"/>
    <w:rsid w:val="00612D31"/>
    <w:rsid w:val="00615855"/>
    <w:rsid w:val="00617FD5"/>
    <w:rsid w:val="00621BA0"/>
    <w:rsid w:val="00621E31"/>
    <w:rsid w:val="006229F5"/>
    <w:rsid w:val="00624F30"/>
    <w:rsid w:val="006267AD"/>
    <w:rsid w:val="006273D5"/>
    <w:rsid w:val="006329D7"/>
    <w:rsid w:val="00633B4F"/>
    <w:rsid w:val="0063647E"/>
    <w:rsid w:val="00637F27"/>
    <w:rsid w:val="00644F8E"/>
    <w:rsid w:val="00645A0C"/>
    <w:rsid w:val="00651E66"/>
    <w:rsid w:val="006543E0"/>
    <w:rsid w:val="00662359"/>
    <w:rsid w:val="00665558"/>
    <w:rsid w:val="006718CA"/>
    <w:rsid w:val="006741AA"/>
    <w:rsid w:val="006809E2"/>
    <w:rsid w:val="006811AB"/>
    <w:rsid w:val="00684624"/>
    <w:rsid w:val="0068538B"/>
    <w:rsid w:val="00696BB0"/>
    <w:rsid w:val="006A2C9F"/>
    <w:rsid w:val="006A35E0"/>
    <w:rsid w:val="006A35E9"/>
    <w:rsid w:val="006A64B7"/>
    <w:rsid w:val="006B0778"/>
    <w:rsid w:val="006B0E1D"/>
    <w:rsid w:val="006B2700"/>
    <w:rsid w:val="006B563C"/>
    <w:rsid w:val="006B6AC6"/>
    <w:rsid w:val="006B6F0F"/>
    <w:rsid w:val="006B7017"/>
    <w:rsid w:val="006B70DC"/>
    <w:rsid w:val="006B71D9"/>
    <w:rsid w:val="006C25BF"/>
    <w:rsid w:val="006C71D8"/>
    <w:rsid w:val="006D02C7"/>
    <w:rsid w:val="006D0FEF"/>
    <w:rsid w:val="006D3010"/>
    <w:rsid w:val="006D423E"/>
    <w:rsid w:val="006D42FB"/>
    <w:rsid w:val="006E13F7"/>
    <w:rsid w:val="006E167F"/>
    <w:rsid w:val="006E21E7"/>
    <w:rsid w:val="006E2663"/>
    <w:rsid w:val="006E27C1"/>
    <w:rsid w:val="006E4278"/>
    <w:rsid w:val="006E5D43"/>
    <w:rsid w:val="006F19B7"/>
    <w:rsid w:val="006F1BB5"/>
    <w:rsid w:val="006F33FB"/>
    <w:rsid w:val="006F3F6B"/>
    <w:rsid w:val="006F44D7"/>
    <w:rsid w:val="006F5F08"/>
    <w:rsid w:val="006F7C1F"/>
    <w:rsid w:val="006F7C53"/>
    <w:rsid w:val="00704E0A"/>
    <w:rsid w:val="00705B3A"/>
    <w:rsid w:val="007067CF"/>
    <w:rsid w:val="0071141C"/>
    <w:rsid w:val="00714DB6"/>
    <w:rsid w:val="007175FF"/>
    <w:rsid w:val="007204CC"/>
    <w:rsid w:val="007209E8"/>
    <w:rsid w:val="00721477"/>
    <w:rsid w:val="00721C4C"/>
    <w:rsid w:val="00722AFC"/>
    <w:rsid w:val="00723D14"/>
    <w:rsid w:val="00724CA8"/>
    <w:rsid w:val="0072658D"/>
    <w:rsid w:val="00733CE3"/>
    <w:rsid w:val="00733F8D"/>
    <w:rsid w:val="00736AD4"/>
    <w:rsid w:val="007377E2"/>
    <w:rsid w:val="00742249"/>
    <w:rsid w:val="0074365F"/>
    <w:rsid w:val="00743A29"/>
    <w:rsid w:val="00743A92"/>
    <w:rsid w:val="0074410F"/>
    <w:rsid w:val="0074572B"/>
    <w:rsid w:val="0074667D"/>
    <w:rsid w:val="007510D5"/>
    <w:rsid w:val="00752539"/>
    <w:rsid w:val="00752A74"/>
    <w:rsid w:val="00754647"/>
    <w:rsid w:val="00754E12"/>
    <w:rsid w:val="0075550E"/>
    <w:rsid w:val="00761C7E"/>
    <w:rsid w:val="0076281E"/>
    <w:rsid w:val="00765405"/>
    <w:rsid w:val="00765AA8"/>
    <w:rsid w:val="00767712"/>
    <w:rsid w:val="00771107"/>
    <w:rsid w:val="0077457A"/>
    <w:rsid w:val="00774808"/>
    <w:rsid w:val="0077684F"/>
    <w:rsid w:val="0077719A"/>
    <w:rsid w:val="0078739D"/>
    <w:rsid w:val="00787571"/>
    <w:rsid w:val="00787761"/>
    <w:rsid w:val="007917D5"/>
    <w:rsid w:val="00791824"/>
    <w:rsid w:val="00793F17"/>
    <w:rsid w:val="00794B9E"/>
    <w:rsid w:val="00795229"/>
    <w:rsid w:val="00795A21"/>
    <w:rsid w:val="00795F14"/>
    <w:rsid w:val="00796947"/>
    <w:rsid w:val="007A16AC"/>
    <w:rsid w:val="007A223C"/>
    <w:rsid w:val="007A258A"/>
    <w:rsid w:val="007A53CD"/>
    <w:rsid w:val="007A58BD"/>
    <w:rsid w:val="007A5F33"/>
    <w:rsid w:val="007A7278"/>
    <w:rsid w:val="007B0E14"/>
    <w:rsid w:val="007B1CAC"/>
    <w:rsid w:val="007B523E"/>
    <w:rsid w:val="007B64EA"/>
    <w:rsid w:val="007B727C"/>
    <w:rsid w:val="007B7A7C"/>
    <w:rsid w:val="007C2AE2"/>
    <w:rsid w:val="007C2D22"/>
    <w:rsid w:val="007C2ECE"/>
    <w:rsid w:val="007C6C5B"/>
    <w:rsid w:val="007D13F1"/>
    <w:rsid w:val="007D16B3"/>
    <w:rsid w:val="007D197A"/>
    <w:rsid w:val="007E027A"/>
    <w:rsid w:val="007E3AAD"/>
    <w:rsid w:val="007E5152"/>
    <w:rsid w:val="007E6810"/>
    <w:rsid w:val="007E69E2"/>
    <w:rsid w:val="007E7919"/>
    <w:rsid w:val="007F1211"/>
    <w:rsid w:val="007F3724"/>
    <w:rsid w:val="007F4D7A"/>
    <w:rsid w:val="007F610E"/>
    <w:rsid w:val="007F7418"/>
    <w:rsid w:val="00800257"/>
    <w:rsid w:val="00801038"/>
    <w:rsid w:val="00802C91"/>
    <w:rsid w:val="0080408E"/>
    <w:rsid w:val="00804223"/>
    <w:rsid w:val="00810D49"/>
    <w:rsid w:val="008113C5"/>
    <w:rsid w:val="00813BBC"/>
    <w:rsid w:val="00815A65"/>
    <w:rsid w:val="00816109"/>
    <w:rsid w:val="0081779E"/>
    <w:rsid w:val="00835093"/>
    <w:rsid w:val="00836BBB"/>
    <w:rsid w:val="00840D14"/>
    <w:rsid w:val="00845A0E"/>
    <w:rsid w:val="0085075F"/>
    <w:rsid w:val="00853705"/>
    <w:rsid w:val="00854381"/>
    <w:rsid w:val="00856EEB"/>
    <w:rsid w:val="008605F7"/>
    <w:rsid w:val="00863B4D"/>
    <w:rsid w:val="008647F1"/>
    <w:rsid w:val="008667BB"/>
    <w:rsid w:val="008703EA"/>
    <w:rsid w:val="00871E4E"/>
    <w:rsid w:val="00872F1C"/>
    <w:rsid w:val="00873177"/>
    <w:rsid w:val="00873DDE"/>
    <w:rsid w:val="00876FAF"/>
    <w:rsid w:val="00883ACE"/>
    <w:rsid w:val="00883CE1"/>
    <w:rsid w:val="00884257"/>
    <w:rsid w:val="00884928"/>
    <w:rsid w:val="008914C0"/>
    <w:rsid w:val="008924C4"/>
    <w:rsid w:val="00893FB3"/>
    <w:rsid w:val="008950F0"/>
    <w:rsid w:val="008967F9"/>
    <w:rsid w:val="00896A2F"/>
    <w:rsid w:val="008970A8"/>
    <w:rsid w:val="00897225"/>
    <w:rsid w:val="00897DCB"/>
    <w:rsid w:val="008A1EB2"/>
    <w:rsid w:val="008A1F6A"/>
    <w:rsid w:val="008A2923"/>
    <w:rsid w:val="008A7A9E"/>
    <w:rsid w:val="008B4D0B"/>
    <w:rsid w:val="008B5C10"/>
    <w:rsid w:val="008B6A33"/>
    <w:rsid w:val="008C0D43"/>
    <w:rsid w:val="008C385B"/>
    <w:rsid w:val="008C4365"/>
    <w:rsid w:val="008C5E15"/>
    <w:rsid w:val="008C6654"/>
    <w:rsid w:val="008D1393"/>
    <w:rsid w:val="008D3A5A"/>
    <w:rsid w:val="008D460F"/>
    <w:rsid w:val="008D543E"/>
    <w:rsid w:val="008D554D"/>
    <w:rsid w:val="008E0681"/>
    <w:rsid w:val="008E1125"/>
    <w:rsid w:val="008E150D"/>
    <w:rsid w:val="008E5406"/>
    <w:rsid w:val="008E56D0"/>
    <w:rsid w:val="008E691F"/>
    <w:rsid w:val="008F1CEB"/>
    <w:rsid w:val="008F3578"/>
    <w:rsid w:val="008F5849"/>
    <w:rsid w:val="008F652B"/>
    <w:rsid w:val="00905D28"/>
    <w:rsid w:val="00905EB1"/>
    <w:rsid w:val="00910B5D"/>
    <w:rsid w:val="00911273"/>
    <w:rsid w:val="00913A96"/>
    <w:rsid w:val="0091410A"/>
    <w:rsid w:val="00914555"/>
    <w:rsid w:val="009153A6"/>
    <w:rsid w:val="00915CF5"/>
    <w:rsid w:val="009202E2"/>
    <w:rsid w:val="009204DF"/>
    <w:rsid w:val="00920B06"/>
    <w:rsid w:val="00924D4C"/>
    <w:rsid w:val="00930060"/>
    <w:rsid w:val="00931539"/>
    <w:rsid w:val="009334B9"/>
    <w:rsid w:val="00935BEB"/>
    <w:rsid w:val="00940716"/>
    <w:rsid w:val="00940945"/>
    <w:rsid w:val="0094202F"/>
    <w:rsid w:val="009462F0"/>
    <w:rsid w:val="00954859"/>
    <w:rsid w:val="0095537F"/>
    <w:rsid w:val="00960463"/>
    <w:rsid w:val="0096147E"/>
    <w:rsid w:val="00961E31"/>
    <w:rsid w:val="00963579"/>
    <w:rsid w:val="00963998"/>
    <w:rsid w:val="00963D51"/>
    <w:rsid w:val="00964B81"/>
    <w:rsid w:val="00965946"/>
    <w:rsid w:val="00966B21"/>
    <w:rsid w:val="009679F5"/>
    <w:rsid w:val="0097064B"/>
    <w:rsid w:val="00970E33"/>
    <w:rsid w:val="00971871"/>
    <w:rsid w:val="00973EBE"/>
    <w:rsid w:val="00975497"/>
    <w:rsid w:val="009759A3"/>
    <w:rsid w:val="00976370"/>
    <w:rsid w:val="00976495"/>
    <w:rsid w:val="009774AA"/>
    <w:rsid w:val="00980D39"/>
    <w:rsid w:val="009818A5"/>
    <w:rsid w:val="009818C2"/>
    <w:rsid w:val="00986D49"/>
    <w:rsid w:val="0098703A"/>
    <w:rsid w:val="00991904"/>
    <w:rsid w:val="00993845"/>
    <w:rsid w:val="009978AA"/>
    <w:rsid w:val="00997D51"/>
    <w:rsid w:val="009A0D39"/>
    <w:rsid w:val="009A3374"/>
    <w:rsid w:val="009A4BC9"/>
    <w:rsid w:val="009A6C4A"/>
    <w:rsid w:val="009B3E3C"/>
    <w:rsid w:val="009B4B59"/>
    <w:rsid w:val="009B6062"/>
    <w:rsid w:val="009B615F"/>
    <w:rsid w:val="009B70AB"/>
    <w:rsid w:val="009C0E38"/>
    <w:rsid w:val="009C0FD7"/>
    <w:rsid w:val="009C1850"/>
    <w:rsid w:val="009C427A"/>
    <w:rsid w:val="009C6AE4"/>
    <w:rsid w:val="009C709A"/>
    <w:rsid w:val="009D02B1"/>
    <w:rsid w:val="009D23B1"/>
    <w:rsid w:val="009D2B5A"/>
    <w:rsid w:val="009D37D3"/>
    <w:rsid w:val="009E05D5"/>
    <w:rsid w:val="009F04A6"/>
    <w:rsid w:val="009F21C6"/>
    <w:rsid w:val="009F31C5"/>
    <w:rsid w:val="009F3FED"/>
    <w:rsid w:val="009F5975"/>
    <w:rsid w:val="009F6D1E"/>
    <w:rsid w:val="009F7A14"/>
    <w:rsid w:val="00A00190"/>
    <w:rsid w:val="00A00CF3"/>
    <w:rsid w:val="00A00DF9"/>
    <w:rsid w:val="00A01B2C"/>
    <w:rsid w:val="00A01FE4"/>
    <w:rsid w:val="00A02AF1"/>
    <w:rsid w:val="00A038C9"/>
    <w:rsid w:val="00A03A1A"/>
    <w:rsid w:val="00A04C3C"/>
    <w:rsid w:val="00A055A8"/>
    <w:rsid w:val="00A06E76"/>
    <w:rsid w:val="00A079D8"/>
    <w:rsid w:val="00A10015"/>
    <w:rsid w:val="00A10159"/>
    <w:rsid w:val="00A11127"/>
    <w:rsid w:val="00A133C9"/>
    <w:rsid w:val="00A149BB"/>
    <w:rsid w:val="00A15AC4"/>
    <w:rsid w:val="00A166A3"/>
    <w:rsid w:val="00A200C1"/>
    <w:rsid w:val="00A22686"/>
    <w:rsid w:val="00A228B7"/>
    <w:rsid w:val="00A22BA3"/>
    <w:rsid w:val="00A2576E"/>
    <w:rsid w:val="00A257F2"/>
    <w:rsid w:val="00A27D4A"/>
    <w:rsid w:val="00A30931"/>
    <w:rsid w:val="00A32709"/>
    <w:rsid w:val="00A3399B"/>
    <w:rsid w:val="00A377CC"/>
    <w:rsid w:val="00A4389B"/>
    <w:rsid w:val="00A51DDD"/>
    <w:rsid w:val="00A51F3F"/>
    <w:rsid w:val="00A53B35"/>
    <w:rsid w:val="00A5564A"/>
    <w:rsid w:val="00A559D8"/>
    <w:rsid w:val="00A56ADD"/>
    <w:rsid w:val="00A57E17"/>
    <w:rsid w:val="00A62156"/>
    <w:rsid w:val="00A6516F"/>
    <w:rsid w:val="00A6651E"/>
    <w:rsid w:val="00A66A4A"/>
    <w:rsid w:val="00A67463"/>
    <w:rsid w:val="00A67C4B"/>
    <w:rsid w:val="00A67DAE"/>
    <w:rsid w:val="00A711E0"/>
    <w:rsid w:val="00A71A5C"/>
    <w:rsid w:val="00A71B2E"/>
    <w:rsid w:val="00A721B1"/>
    <w:rsid w:val="00A72E92"/>
    <w:rsid w:val="00A73AC0"/>
    <w:rsid w:val="00A74D9C"/>
    <w:rsid w:val="00A74E8F"/>
    <w:rsid w:val="00A77B9B"/>
    <w:rsid w:val="00A80324"/>
    <w:rsid w:val="00A83142"/>
    <w:rsid w:val="00A84046"/>
    <w:rsid w:val="00A86243"/>
    <w:rsid w:val="00A86268"/>
    <w:rsid w:val="00A87257"/>
    <w:rsid w:val="00A9094D"/>
    <w:rsid w:val="00A92060"/>
    <w:rsid w:val="00A9241D"/>
    <w:rsid w:val="00A94AB4"/>
    <w:rsid w:val="00A9567C"/>
    <w:rsid w:val="00A966AB"/>
    <w:rsid w:val="00AA041E"/>
    <w:rsid w:val="00AA227D"/>
    <w:rsid w:val="00AA42D9"/>
    <w:rsid w:val="00AA5114"/>
    <w:rsid w:val="00AA66AF"/>
    <w:rsid w:val="00AA7A43"/>
    <w:rsid w:val="00AB28E8"/>
    <w:rsid w:val="00AC08E9"/>
    <w:rsid w:val="00AC1B9B"/>
    <w:rsid w:val="00AC20E8"/>
    <w:rsid w:val="00AC21B2"/>
    <w:rsid w:val="00AC3356"/>
    <w:rsid w:val="00AC3F5B"/>
    <w:rsid w:val="00AC4734"/>
    <w:rsid w:val="00AD03B1"/>
    <w:rsid w:val="00AD444C"/>
    <w:rsid w:val="00AD75DC"/>
    <w:rsid w:val="00AD7714"/>
    <w:rsid w:val="00AE4AF1"/>
    <w:rsid w:val="00AE6405"/>
    <w:rsid w:val="00AF3A25"/>
    <w:rsid w:val="00AF5B31"/>
    <w:rsid w:val="00AF6151"/>
    <w:rsid w:val="00AF7DE6"/>
    <w:rsid w:val="00B02015"/>
    <w:rsid w:val="00B02FE4"/>
    <w:rsid w:val="00B0305F"/>
    <w:rsid w:val="00B0585B"/>
    <w:rsid w:val="00B06212"/>
    <w:rsid w:val="00B064A1"/>
    <w:rsid w:val="00B07D43"/>
    <w:rsid w:val="00B152A6"/>
    <w:rsid w:val="00B21910"/>
    <w:rsid w:val="00B23B5A"/>
    <w:rsid w:val="00B30678"/>
    <w:rsid w:val="00B36396"/>
    <w:rsid w:val="00B3766F"/>
    <w:rsid w:val="00B40BB1"/>
    <w:rsid w:val="00B40EB2"/>
    <w:rsid w:val="00B411F2"/>
    <w:rsid w:val="00B43376"/>
    <w:rsid w:val="00B43A2E"/>
    <w:rsid w:val="00B43AEE"/>
    <w:rsid w:val="00B46D33"/>
    <w:rsid w:val="00B52AA7"/>
    <w:rsid w:val="00B52E59"/>
    <w:rsid w:val="00B52F09"/>
    <w:rsid w:val="00B5499E"/>
    <w:rsid w:val="00B55D11"/>
    <w:rsid w:val="00B607F3"/>
    <w:rsid w:val="00B634C2"/>
    <w:rsid w:val="00B639C1"/>
    <w:rsid w:val="00B66B12"/>
    <w:rsid w:val="00B66B99"/>
    <w:rsid w:val="00B6711E"/>
    <w:rsid w:val="00B71270"/>
    <w:rsid w:val="00B71B2C"/>
    <w:rsid w:val="00B72147"/>
    <w:rsid w:val="00B73E76"/>
    <w:rsid w:val="00B82CCB"/>
    <w:rsid w:val="00B87F00"/>
    <w:rsid w:val="00B90098"/>
    <w:rsid w:val="00B908EA"/>
    <w:rsid w:val="00B91765"/>
    <w:rsid w:val="00B93EA8"/>
    <w:rsid w:val="00B94F7F"/>
    <w:rsid w:val="00B95FFA"/>
    <w:rsid w:val="00B97273"/>
    <w:rsid w:val="00BA015D"/>
    <w:rsid w:val="00BA06A4"/>
    <w:rsid w:val="00BA246B"/>
    <w:rsid w:val="00BA5C17"/>
    <w:rsid w:val="00BA63EE"/>
    <w:rsid w:val="00BA6553"/>
    <w:rsid w:val="00BA77B1"/>
    <w:rsid w:val="00BB088B"/>
    <w:rsid w:val="00BB08AD"/>
    <w:rsid w:val="00BB28F8"/>
    <w:rsid w:val="00BB3826"/>
    <w:rsid w:val="00BB5F33"/>
    <w:rsid w:val="00BB6C59"/>
    <w:rsid w:val="00BB7511"/>
    <w:rsid w:val="00BB7D56"/>
    <w:rsid w:val="00BC2747"/>
    <w:rsid w:val="00BC4509"/>
    <w:rsid w:val="00BC4F71"/>
    <w:rsid w:val="00BC564E"/>
    <w:rsid w:val="00BC6696"/>
    <w:rsid w:val="00BC6857"/>
    <w:rsid w:val="00BD19FC"/>
    <w:rsid w:val="00BD1A18"/>
    <w:rsid w:val="00BD3F84"/>
    <w:rsid w:val="00BD5AD5"/>
    <w:rsid w:val="00BD681D"/>
    <w:rsid w:val="00BE0083"/>
    <w:rsid w:val="00BE1A57"/>
    <w:rsid w:val="00BE2A33"/>
    <w:rsid w:val="00BE3F0B"/>
    <w:rsid w:val="00BE6BDB"/>
    <w:rsid w:val="00BE72CD"/>
    <w:rsid w:val="00BF146C"/>
    <w:rsid w:val="00BF4A54"/>
    <w:rsid w:val="00BF5BE4"/>
    <w:rsid w:val="00BF7F2D"/>
    <w:rsid w:val="00C00487"/>
    <w:rsid w:val="00C00583"/>
    <w:rsid w:val="00C01A9C"/>
    <w:rsid w:val="00C03B24"/>
    <w:rsid w:val="00C100C2"/>
    <w:rsid w:val="00C11140"/>
    <w:rsid w:val="00C14B63"/>
    <w:rsid w:val="00C158BD"/>
    <w:rsid w:val="00C1695B"/>
    <w:rsid w:val="00C2006D"/>
    <w:rsid w:val="00C204E9"/>
    <w:rsid w:val="00C226CD"/>
    <w:rsid w:val="00C22824"/>
    <w:rsid w:val="00C26428"/>
    <w:rsid w:val="00C27BED"/>
    <w:rsid w:val="00C27C35"/>
    <w:rsid w:val="00C27CEF"/>
    <w:rsid w:val="00C30CA5"/>
    <w:rsid w:val="00C30DF3"/>
    <w:rsid w:val="00C31795"/>
    <w:rsid w:val="00C32258"/>
    <w:rsid w:val="00C3779D"/>
    <w:rsid w:val="00C4449A"/>
    <w:rsid w:val="00C445FF"/>
    <w:rsid w:val="00C47A9F"/>
    <w:rsid w:val="00C5138E"/>
    <w:rsid w:val="00C5188D"/>
    <w:rsid w:val="00C522DE"/>
    <w:rsid w:val="00C5307E"/>
    <w:rsid w:val="00C54630"/>
    <w:rsid w:val="00C55AF4"/>
    <w:rsid w:val="00C56DC5"/>
    <w:rsid w:val="00C56FB6"/>
    <w:rsid w:val="00C61A93"/>
    <w:rsid w:val="00C6321A"/>
    <w:rsid w:val="00C64394"/>
    <w:rsid w:val="00C65B27"/>
    <w:rsid w:val="00C65E77"/>
    <w:rsid w:val="00C65EF1"/>
    <w:rsid w:val="00C67520"/>
    <w:rsid w:val="00C74054"/>
    <w:rsid w:val="00C74912"/>
    <w:rsid w:val="00C7618A"/>
    <w:rsid w:val="00C77275"/>
    <w:rsid w:val="00C772DC"/>
    <w:rsid w:val="00C773C5"/>
    <w:rsid w:val="00C80701"/>
    <w:rsid w:val="00C81821"/>
    <w:rsid w:val="00C828E3"/>
    <w:rsid w:val="00C85C88"/>
    <w:rsid w:val="00C8684A"/>
    <w:rsid w:val="00C91B7C"/>
    <w:rsid w:val="00C924D7"/>
    <w:rsid w:val="00C9402F"/>
    <w:rsid w:val="00C95FCD"/>
    <w:rsid w:val="00C96A4D"/>
    <w:rsid w:val="00C96EEB"/>
    <w:rsid w:val="00C971D8"/>
    <w:rsid w:val="00CA061B"/>
    <w:rsid w:val="00CA1527"/>
    <w:rsid w:val="00CA2084"/>
    <w:rsid w:val="00CA2869"/>
    <w:rsid w:val="00CA2CB2"/>
    <w:rsid w:val="00CA671C"/>
    <w:rsid w:val="00CB01EB"/>
    <w:rsid w:val="00CB08C1"/>
    <w:rsid w:val="00CB541C"/>
    <w:rsid w:val="00CC20C3"/>
    <w:rsid w:val="00CC2F44"/>
    <w:rsid w:val="00CC3032"/>
    <w:rsid w:val="00CC3E7A"/>
    <w:rsid w:val="00CC5436"/>
    <w:rsid w:val="00CC7CE0"/>
    <w:rsid w:val="00CD0D38"/>
    <w:rsid w:val="00CD3387"/>
    <w:rsid w:val="00CD34AB"/>
    <w:rsid w:val="00CD3B8A"/>
    <w:rsid w:val="00CD41F4"/>
    <w:rsid w:val="00CD4F6A"/>
    <w:rsid w:val="00CD54B5"/>
    <w:rsid w:val="00CD67BF"/>
    <w:rsid w:val="00CD7E73"/>
    <w:rsid w:val="00CE075B"/>
    <w:rsid w:val="00CE0F8A"/>
    <w:rsid w:val="00CE26A1"/>
    <w:rsid w:val="00CE47B3"/>
    <w:rsid w:val="00CF74A3"/>
    <w:rsid w:val="00D012F9"/>
    <w:rsid w:val="00D0167D"/>
    <w:rsid w:val="00D019E2"/>
    <w:rsid w:val="00D03B01"/>
    <w:rsid w:val="00D03D10"/>
    <w:rsid w:val="00D103F0"/>
    <w:rsid w:val="00D13764"/>
    <w:rsid w:val="00D143B0"/>
    <w:rsid w:val="00D15F6A"/>
    <w:rsid w:val="00D1693F"/>
    <w:rsid w:val="00D2238E"/>
    <w:rsid w:val="00D22D1E"/>
    <w:rsid w:val="00D232D5"/>
    <w:rsid w:val="00D237E3"/>
    <w:rsid w:val="00D23B41"/>
    <w:rsid w:val="00D24812"/>
    <w:rsid w:val="00D24C5E"/>
    <w:rsid w:val="00D24FC2"/>
    <w:rsid w:val="00D27154"/>
    <w:rsid w:val="00D27830"/>
    <w:rsid w:val="00D32D31"/>
    <w:rsid w:val="00D334EC"/>
    <w:rsid w:val="00D3399F"/>
    <w:rsid w:val="00D33B6B"/>
    <w:rsid w:val="00D408D0"/>
    <w:rsid w:val="00D41B35"/>
    <w:rsid w:val="00D422BC"/>
    <w:rsid w:val="00D4385A"/>
    <w:rsid w:val="00D4451B"/>
    <w:rsid w:val="00D455A4"/>
    <w:rsid w:val="00D4573E"/>
    <w:rsid w:val="00D46C5C"/>
    <w:rsid w:val="00D47189"/>
    <w:rsid w:val="00D5283C"/>
    <w:rsid w:val="00D56EE1"/>
    <w:rsid w:val="00D57614"/>
    <w:rsid w:val="00D64421"/>
    <w:rsid w:val="00D6547A"/>
    <w:rsid w:val="00D6609B"/>
    <w:rsid w:val="00D67F69"/>
    <w:rsid w:val="00D71E64"/>
    <w:rsid w:val="00D772D0"/>
    <w:rsid w:val="00D7795D"/>
    <w:rsid w:val="00D77B97"/>
    <w:rsid w:val="00D81F62"/>
    <w:rsid w:val="00D85CB0"/>
    <w:rsid w:val="00D871DC"/>
    <w:rsid w:val="00D90D2E"/>
    <w:rsid w:val="00D929FC"/>
    <w:rsid w:val="00D93A62"/>
    <w:rsid w:val="00DA059E"/>
    <w:rsid w:val="00DA0642"/>
    <w:rsid w:val="00DA3F53"/>
    <w:rsid w:val="00DB506E"/>
    <w:rsid w:val="00DC1450"/>
    <w:rsid w:val="00DC16E5"/>
    <w:rsid w:val="00DC45CE"/>
    <w:rsid w:val="00DC47DD"/>
    <w:rsid w:val="00DC5590"/>
    <w:rsid w:val="00DC72E8"/>
    <w:rsid w:val="00DD20CD"/>
    <w:rsid w:val="00DD4178"/>
    <w:rsid w:val="00DD77B3"/>
    <w:rsid w:val="00DE183C"/>
    <w:rsid w:val="00DE3379"/>
    <w:rsid w:val="00DE3BC6"/>
    <w:rsid w:val="00DE725D"/>
    <w:rsid w:val="00DF1725"/>
    <w:rsid w:val="00DF1D64"/>
    <w:rsid w:val="00DF3F12"/>
    <w:rsid w:val="00E009FE"/>
    <w:rsid w:val="00E01A37"/>
    <w:rsid w:val="00E037AF"/>
    <w:rsid w:val="00E03D53"/>
    <w:rsid w:val="00E112C2"/>
    <w:rsid w:val="00E13717"/>
    <w:rsid w:val="00E14714"/>
    <w:rsid w:val="00E15D95"/>
    <w:rsid w:val="00E17654"/>
    <w:rsid w:val="00E177B2"/>
    <w:rsid w:val="00E17819"/>
    <w:rsid w:val="00E20F0D"/>
    <w:rsid w:val="00E23B16"/>
    <w:rsid w:val="00E2684A"/>
    <w:rsid w:val="00E31EF3"/>
    <w:rsid w:val="00E36C04"/>
    <w:rsid w:val="00E36C87"/>
    <w:rsid w:val="00E41D6B"/>
    <w:rsid w:val="00E470BA"/>
    <w:rsid w:val="00E50A83"/>
    <w:rsid w:val="00E50DE4"/>
    <w:rsid w:val="00E50EF1"/>
    <w:rsid w:val="00E511D1"/>
    <w:rsid w:val="00E51D38"/>
    <w:rsid w:val="00E53540"/>
    <w:rsid w:val="00E54489"/>
    <w:rsid w:val="00E5591E"/>
    <w:rsid w:val="00E5604B"/>
    <w:rsid w:val="00E5766A"/>
    <w:rsid w:val="00E6450C"/>
    <w:rsid w:val="00E711F3"/>
    <w:rsid w:val="00E7281B"/>
    <w:rsid w:val="00E7298A"/>
    <w:rsid w:val="00E7327F"/>
    <w:rsid w:val="00E734DD"/>
    <w:rsid w:val="00E73B1D"/>
    <w:rsid w:val="00E771EB"/>
    <w:rsid w:val="00E80AE4"/>
    <w:rsid w:val="00E80E98"/>
    <w:rsid w:val="00E80F76"/>
    <w:rsid w:val="00E810EB"/>
    <w:rsid w:val="00E8263D"/>
    <w:rsid w:val="00E83359"/>
    <w:rsid w:val="00E86A6F"/>
    <w:rsid w:val="00E8712D"/>
    <w:rsid w:val="00E91094"/>
    <w:rsid w:val="00E94090"/>
    <w:rsid w:val="00E94F03"/>
    <w:rsid w:val="00E95198"/>
    <w:rsid w:val="00E97DDF"/>
    <w:rsid w:val="00EA0345"/>
    <w:rsid w:val="00EA0357"/>
    <w:rsid w:val="00EA42F2"/>
    <w:rsid w:val="00EB4F1D"/>
    <w:rsid w:val="00EB76D3"/>
    <w:rsid w:val="00EB7AB2"/>
    <w:rsid w:val="00EC07A1"/>
    <w:rsid w:val="00EC11B4"/>
    <w:rsid w:val="00ED0AA4"/>
    <w:rsid w:val="00ED13E4"/>
    <w:rsid w:val="00ED2668"/>
    <w:rsid w:val="00ED38BA"/>
    <w:rsid w:val="00ED7898"/>
    <w:rsid w:val="00ED79B2"/>
    <w:rsid w:val="00EE331D"/>
    <w:rsid w:val="00EE713B"/>
    <w:rsid w:val="00EF053D"/>
    <w:rsid w:val="00EF2D7A"/>
    <w:rsid w:val="00EF49FA"/>
    <w:rsid w:val="00EF5EC4"/>
    <w:rsid w:val="00EF69A0"/>
    <w:rsid w:val="00EF75C5"/>
    <w:rsid w:val="00F024B3"/>
    <w:rsid w:val="00F0288B"/>
    <w:rsid w:val="00F04C9D"/>
    <w:rsid w:val="00F065F4"/>
    <w:rsid w:val="00F17DD7"/>
    <w:rsid w:val="00F21C7A"/>
    <w:rsid w:val="00F23BE6"/>
    <w:rsid w:val="00F23F7C"/>
    <w:rsid w:val="00F25032"/>
    <w:rsid w:val="00F25B58"/>
    <w:rsid w:val="00F27945"/>
    <w:rsid w:val="00F313D1"/>
    <w:rsid w:val="00F36517"/>
    <w:rsid w:val="00F40E88"/>
    <w:rsid w:val="00F417EF"/>
    <w:rsid w:val="00F42D81"/>
    <w:rsid w:val="00F44EFF"/>
    <w:rsid w:val="00F463BB"/>
    <w:rsid w:val="00F554E7"/>
    <w:rsid w:val="00F5591B"/>
    <w:rsid w:val="00F55945"/>
    <w:rsid w:val="00F575FF"/>
    <w:rsid w:val="00F57ABD"/>
    <w:rsid w:val="00F57EED"/>
    <w:rsid w:val="00F616C3"/>
    <w:rsid w:val="00F61A86"/>
    <w:rsid w:val="00F62DA3"/>
    <w:rsid w:val="00F63ECD"/>
    <w:rsid w:val="00F64264"/>
    <w:rsid w:val="00F643A6"/>
    <w:rsid w:val="00F67BF9"/>
    <w:rsid w:val="00F70EDB"/>
    <w:rsid w:val="00F729F2"/>
    <w:rsid w:val="00F73186"/>
    <w:rsid w:val="00F73667"/>
    <w:rsid w:val="00F7536A"/>
    <w:rsid w:val="00F80F7C"/>
    <w:rsid w:val="00F812DA"/>
    <w:rsid w:val="00F85456"/>
    <w:rsid w:val="00F85C9E"/>
    <w:rsid w:val="00F90263"/>
    <w:rsid w:val="00F949F1"/>
    <w:rsid w:val="00F94CC7"/>
    <w:rsid w:val="00F9583C"/>
    <w:rsid w:val="00F966FF"/>
    <w:rsid w:val="00FA298E"/>
    <w:rsid w:val="00FA3933"/>
    <w:rsid w:val="00FA51DD"/>
    <w:rsid w:val="00FA5EB0"/>
    <w:rsid w:val="00FA673F"/>
    <w:rsid w:val="00FB1618"/>
    <w:rsid w:val="00FB202D"/>
    <w:rsid w:val="00FB26E5"/>
    <w:rsid w:val="00FB5098"/>
    <w:rsid w:val="00FB5AB1"/>
    <w:rsid w:val="00FB6A20"/>
    <w:rsid w:val="00FC1A12"/>
    <w:rsid w:val="00FC3B0D"/>
    <w:rsid w:val="00FC568E"/>
    <w:rsid w:val="00FC6FFB"/>
    <w:rsid w:val="00FC79FF"/>
    <w:rsid w:val="00FD1943"/>
    <w:rsid w:val="00FD1D81"/>
    <w:rsid w:val="00FD516E"/>
    <w:rsid w:val="00FD7809"/>
    <w:rsid w:val="00FE1C26"/>
    <w:rsid w:val="00FE1EF3"/>
    <w:rsid w:val="00FE4436"/>
    <w:rsid w:val="00FE4855"/>
    <w:rsid w:val="00FF1318"/>
    <w:rsid w:val="00FF1A1C"/>
    <w:rsid w:val="00FF43FA"/>
    <w:rsid w:val="00FF7ADC"/>
    <w:rsid w:val="14F74632"/>
    <w:rsid w:val="28096D95"/>
    <w:rsid w:val="2A2C5D3D"/>
    <w:rsid w:val="32AE58A6"/>
    <w:rsid w:val="38D5605C"/>
    <w:rsid w:val="470B755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iPriority="99" w:name="Normal Indent" w:locked="1"/>
    <w:lsdException w:uiPriority="99" w:name="footnote text" w:locked="1"/>
    <w:lsdException w:unhideWhenUsed="0" w:uiPriority="99" w:semiHidden="0" w:name="annotation text"/>
    <w:lsdException w:unhideWhenUsed="0" w:uiPriority="99" w:semiHidden="0" w:name="header"/>
    <w:lsdException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36"/>
    <w:qFormat/>
    <w:uiPriority w:val="99"/>
    <w:pPr>
      <w:keepNext/>
      <w:keepLines/>
      <w:widowControl w:val="0"/>
      <w:numPr>
        <w:ilvl w:val="0"/>
        <w:numId w:val="1"/>
      </w:numPr>
      <w:spacing w:before="240" w:after="120" w:line="360" w:lineRule="auto"/>
      <w:jc w:val="center"/>
      <w:outlineLvl w:val="0"/>
    </w:pPr>
    <w:rPr>
      <w:rFonts w:ascii="Calibri" w:hAnsi="Calibri" w:eastAsia="黑体" w:cs="Times New Roman"/>
      <w:bCs/>
      <w:kern w:val="44"/>
      <w:sz w:val="32"/>
      <w:szCs w:val="144"/>
    </w:rPr>
  </w:style>
  <w:style w:type="paragraph" w:styleId="3">
    <w:name w:val="heading 2"/>
    <w:basedOn w:val="4"/>
    <w:next w:val="1"/>
    <w:link w:val="37"/>
    <w:qFormat/>
    <w:uiPriority w:val="99"/>
    <w:pPr>
      <w:keepNext/>
      <w:keepLines/>
      <w:widowControl w:val="0"/>
      <w:numPr>
        <w:ilvl w:val="0"/>
        <w:numId w:val="2"/>
      </w:numPr>
      <w:spacing w:before="120" w:after="120"/>
      <w:jc w:val="left"/>
      <w:outlineLvl w:val="1"/>
    </w:pPr>
    <w:rPr>
      <w:rFonts w:eastAsia="黑体"/>
      <w:b w:val="0"/>
      <w:bCs w:val="0"/>
      <w:kern w:val="2"/>
      <w:sz w:val="28"/>
    </w:rPr>
  </w:style>
  <w:style w:type="paragraph" w:styleId="5">
    <w:name w:val="heading 3"/>
    <w:basedOn w:val="3"/>
    <w:next w:val="1"/>
    <w:link w:val="38"/>
    <w:qFormat/>
    <w:uiPriority w:val="99"/>
    <w:pPr>
      <w:numPr>
        <w:numId w:val="3"/>
      </w:numPr>
      <w:spacing w:line="360" w:lineRule="auto"/>
      <w:outlineLvl w:val="2"/>
    </w:pPr>
    <w:rPr>
      <w:rFonts w:ascii="Calibri" w:hAnsi="Calibri"/>
      <w:bCs/>
    </w:rPr>
  </w:style>
  <w:style w:type="paragraph" w:styleId="6">
    <w:name w:val="heading 4"/>
    <w:basedOn w:val="7"/>
    <w:next w:val="1"/>
    <w:link w:val="39"/>
    <w:qFormat/>
    <w:uiPriority w:val="99"/>
    <w:pPr>
      <w:numPr>
        <w:ilvl w:val="0"/>
        <w:numId w:val="4"/>
      </w:numPr>
      <w:spacing w:before="120" w:after="120"/>
      <w:ind w:firstLine="0" w:firstLineChars="0"/>
      <w:jc w:val="left"/>
      <w:outlineLvl w:val="3"/>
    </w:pPr>
    <w:rPr>
      <w:rFonts w:ascii="Cambria" w:hAnsi="Cambria" w:eastAsia="黑体"/>
      <w:bCs/>
      <w:sz w:val="28"/>
      <w:szCs w:val="28"/>
    </w:rPr>
  </w:style>
  <w:style w:type="paragraph" w:styleId="8">
    <w:name w:val="heading 5"/>
    <w:basedOn w:val="7"/>
    <w:next w:val="1"/>
    <w:link w:val="40"/>
    <w:qFormat/>
    <w:uiPriority w:val="99"/>
    <w:pPr>
      <w:spacing w:beforeLines="20" w:afterLines="20"/>
      <w:ind w:left="198" w:firstLine="0" w:firstLineChars="0"/>
      <w:jc w:val="center"/>
      <w:outlineLvl w:val="4"/>
    </w:pPr>
    <w:rPr>
      <w:rFonts w:ascii="Times New Roman" w:hAnsi="Times New Roman"/>
      <w:bCs/>
      <w:sz w:val="24"/>
    </w:rPr>
  </w:style>
  <w:style w:type="paragraph" w:styleId="9">
    <w:name w:val="heading 6"/>
    <w:basedOn w:val="1"/>
    <w:next w:val="1"/>
    <w:link w:val="41"/>
    <w:qFormat/>
    <w:uiPriority w:val="99"/>
    <w:pPr>
      <w:keepNext/>
      <w:keepLines/>
      <w:numPr>
        <w:ilvl w:val="5"/>
        <w:numId w:val="5"/>
      </w:numPr>
      <w:tabs>
        <w:tab w:val="left" w:pos="1560"/>
        <w:tab w:val="left" w:pos="2681"/>
      </w:tabs>
      <w:spacing w:before="120" w:after="120" w:line="360" w:lineRule="auto"/>
      <w:outlineLvl w:val="5"/>
    </w:pPr>
    <w:rPr>
      <w:rFonts w:ascii="Times New Roman" w:hAnsi="Times New Roman" w:eastAsia="黑体" w:cs="Times New Roman"/>
      <w:bCs/>
      <w:kern w:val="44"/>
      <w:sz w:val="28"/>
      <w:szCs w:val="28"/>
    </w:rPr>
  </w:style>
  <w:style w:type="paragraph" w:styleId="10">
    <w:name w:val="heading 7"/>
    <w:basedOn w:val="1"/>
    <w:next w:val="1"/>
    <w:link w:val="42"/>
    <w:qFormat/>
    <w:uiPriority w:val="99"/>
    <w:pPr>
      <w:keepNext/>
      <w:keepLines/>
      <w:numPr>
        <w:ilvl w:val="6"/>
        <w:numId w:val="5"/>
      </w:numPr>
      <w:tabs>
        <w:tab w:val="left" w:pos="1800"/>
        <w:tab w:val="left" w:pos="2681"/>
      </w:tabs>
      <w:spacing w:before="120" w:after="120" w:line="360" w:lineRule="auto"/>
      <w:outlineLvl w:val="6"/>
    </w:pPr>
    <w:rPr>
      <w:rFonts w:ascii="Times New Roman" w:hAnsi="Times New Roman" w:eastAsia="黑体" w:cs="Times New Roman"/>
      <w:bCs/>
      <w:kern w:val="44"/>
      <w:sz w:val="28"/>
      <w:szCs w:val="28"/>
    </w:rPr>
  </w:style>
  <w:style w:type="paragraph" w:styleId="11">
    <w:name w:val="heading 8"/>
    <w:basedOn w:val="1"/>
    <w:next w:val="1"/>
    <w:link w:val="43"/>
    <w:qFormat/>
    <w:uiPriority w:val="99"/>
    <w:pPr>
      <w:keepNext/>
      <w:keepLines/>
      <w:widowControl w:val="0"/>
      <w:spacing w:before="240" w:after="64" w:line="320" w:lineRule="auto"/>
      <w:jc w:val="both"/>
      <w:outlineLvl w:val="7"/>
    </w:pPr>
    <w:rPr>
      <w:rFonts w:ascii="Cambria" w:hAnsi="Cambria" w:cs="Times New Roman"/>
      <w:kern w:val="2"/>
    </w:rPr>
  </w:style>
  <w:style w:type="paragraph" w:styleId="12">
    <w:name w:val="heading 9"/>
    <w:basedOn w:val="1"/>
    <w:next w:val="1"/>
    <w:link w:val="44"/>
    <w:qFormat/>
    <w:uiPriority w:val="99"/>
    <w:pPr>
      <w:keepNext/>
      <w:keepLines/>
      <w:widowControl w:val="0"/>
      <w:spacing w:before="240" w:after="64" w:line="320" w:lineRule="auto"/>
      <w:jc w:val="both"/>
      <w:outlineLvl w:val="8"/>
    </w:pPr>
    <w:rPr>
      <w:rFonts w:ascii="Cambria" w:hAnsi="Cambria" w:cs="Times New Roman"/>
      <w:kern w:val="2"/>
      <w:sz w:val="21"/>
      <w:szCs w:val="21"/>
    </w:rPr>
  </w:style>
  <w:style w:type="character" w:default="1" w:styleId="31">
    <w:name w:val="Default Paragraph Font"/>
    <w:semiHidden/>
    <w:uiPriority w:val="99"/>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4">
    <w:name w:val="Title"/>
    <w:basedOn w:val="1"/>
    <w:next w:val="1"/>
    <w:link w:val="45"/>
    <w:qFormat/>
    <w:uiPriority w:val="99"/>
    <w:pPr>
      <w:spacing w:before="240" w:after="60"/>
      <w:jc w:val="center"/>
      <w:outlineLvl w:val="0"/>
    </w:pPr>
    <w:rPr>
      <w:rFonts w:ascii="Cambria" w:hAnsi="Cambria" w:cs="Times New Roman"/>
      <w:b/>
      <w:bCs/>
      <w:sz w:val="32"/>
      <w:szCs w:val="32"/>
    </w:rPr>
  </w:style>
  <w:style w:type="paragraph" w:styleId="7">
    <w:name w:val="List Paragraph"/>
    <w:basedOn w:val="1"/>
    <w:link w:val="52"/>
    <w:qFormat/>
    <w:uiPriority w:val="99"/>
    <w:pPr>
      <w:widowControl w:val="0"/>
      <w:ind w:firstLine="420" w:firstLineChars="200"/>
      <w:jc w:val="both"/>
    </w:pPr>
    <w:rPr>
      <w:rFonts w:ascii="Calibri" w:hAnsi="Calibri" w:cs="Times New Roman"/>
      <w:sz w:val="20"/>
      <w:szCs w:val="20"/>
    </w:rPr>
  </w:style>
  <w:style w:type="paragraph" w:styleId="13">
    <w:name w:val="toc 7"/>
    <w:basedOn w:val="1"/>
    <w:next w:val="1"/>
    <w:uiPriority w:val="99"/>
    <w:pPr>
      <w:widowControl w:val="0"/>
      <w:spacing w:line="360" w:lineRule="auto"/>
      <w:ind w:left="2520" w:leftChars="1200" w:firstLine="200" w:firstLineChars="200"/>
    </w:pPr>
    <w:rPr>
      <w:rFonts w:hAnsi="Times New Roman" w:cs="Times New Roman"/>
      <w:kern w:val="2"/>
    </w:rPr>
  </w:style>
  <w:style w:type="paragraph" w:styleId="14">
    <w:name w:val="caption"/>
    <w:basedOn w:val="1"/>
    <w:next w:val="1"/>
    <w:qFormat/>
    <w:uiPriority w:val="99"/>
    <w:pPr>
      <w:widowControl w:val="0"/>
      <w:spacing w:before="152" w:after="160" w:line="360" w:lineRule="auto"/>
      <w:ind w:firstLine="200" w:firstLineChars="200"/>
    </w:pPr>
    <w:rPr>
      <w:rFonts w:ascii="Arial" w:hAnsi="Arial" w:eastAsia="黑体" w:cs="Arial"/>
      <w:kern w:val="2"/>
      <w:sz w:val="20"/>
      <w:szCs w:val="20"/>
    </w:rPr>
  </w:style>
  <w:style w:type="paragraph" w:styleId="15">
    <w:name w:val="annotation text"/>
    <w:basedOn w:val="1"/>
    <w:link w:val="46"/>
    <w:uiPriority w:val="99"/>
    <w:pPr>
      <w:widowControl w:val="0"/>
      <w:spacing w:line="360" w:lineRule="auto"/>
      <w:ind w:firstLine="480" w:firstLineChars="200"/>
    </w:pPr>
    <w:rPr>
      <w:rFonts w:ascii="Calibri" w:hAnsi="Calibri" w:cs="Times New Roman"/>
      <w:kern w:val="2"/>
    </w:rPr>
  </w:style>
  <w:style w:type="paragraph" w:styleId="16">
    <w:name w:val="toc 5"/>
    <w:basedOn w:val="1"/>
    <w:next w:val="1"/>
    <w:uiPriority w:val="99"/>
    <w:pPr>
      <w:widowControl w:val="0"/>
      <w:spacing w:line="360" w:lineRule="auto"/>
      <w:ind w:left="1680" w:leftChars="800" w:firstLine="200" w:firstLineChars="200"/>
    </w:pPr>
    <w:rPr>
      <w:rFonts w:hAnsi="Times New Roman" w:cs="Times New Roman"/>
      <w:kern w:val="2"/>
    </w:rPr>
  </w:style>
  <w:style w:type="paragraph" w:styleId="17">
    <w:name w:val="toc 3"/>
    <w:basedOn w:val="1"/>
    <w:next w:val="1"/>
    <w:uiPriority w:val="99"/>
    <w:pPr>
      <w:spacing w:after="100" w:line="276" w:lineRule="auto"/>
      <w:ind w:left="440"/>
    </w:pPr>
    <w:rPr>
      <w:rFonts w:ascii="Calibri" w:hAnsi="Calibri" w:cs="Times New Roman"/>
      <w:sz w:val="22"/>
      <w:szCs w:val="22"/>
    </w:rPr>
  </w:style>
  <w:style w:type="paragraph" w:styleId="18">
    <w:name w:val="toc 8"/>
    <w:basedOn w:val="1"/>
    <w:next w:val="1"/>
    <w:uiPriority w:val="99"/>
    <w:pPr>
      <w:widowControl w:val="0"/>
      <w:spacing w:line="360" w:lineRule="auto"/>
      <w:ind w:left="2940" w:leftChars="1400" w:firstLine="200" w:firstLineChars="200"/>
    </w:pPr>
    <w:rPr>
      <w:rFonts w:hAnsi="Times New Roman" w:cs="Times New Roman"/>
      <w:kern w:val="2"/>
    </w:rPr>
  </w:style>
  <w:style w:type="paragraph" w:styleId="19">
    <w:name w:val="Date"/>
    <w:basedOn w:val="1"/>
    <w:next w:val="1"/>
    <w:link w:val="47"/>
    <w:semiHidden/>
    <w:uiPriority w:val="99"/>
    <w:pPr>
      <w:ind w:left="100" w:leftChars="2500"/>
    </w:pPr>
  </w:style>
  <w:style w:type="paragraph" w:styleId="20">
    <w:name w:val="Balloon Text"/>
    <w:basedOn w:val="1"/>
    <w:link w:val="48"/>
    <w:uiPriority w:val="99"/>
    <w:pPr>
      <w:widowControl w:val="0"/>
      <w:jc w:val="both"/>
    </w:pPr>
    <w:rPr>
      <w:rFonts w:ascii="Calibri" w:hAnsi="Calibri" w:cs="Times New Roman"/>
      <w:kern w:val="2"/>
      <w:sz w:val="18"/>
      <w:szCs w:val="18"/>
    </w:rPr>
  </w:style>
  <w:style w:type="paragraph" w:styleId="21">
    <w:name w:val="footer"/>
    <w:basedOn w:val="1"/>
    <w:link w:val="49"/>
    <w:uiPriority w:val="99"/>
    <w:pPr>
      <w:widowControl w:val="0"/>
      <w:tabs>
        <w:tab w:val="center" w:pos="4153"/>
        <w:tab w:val="right" w:pos="8306"/>
      </w:tabs>
      <w:snapToGrid w:val="0"/>
    </w:pPr>
    <w:rPr>
      <w:rFonts w:ascii="Calibri" w:hAnsi="Calibri" w:cs="Times New Roman"/>
      <w:kern w:val="2"/>
      <w:sz w:val="18"/>
      <w:szCs w:val="18"/>
    </w:rPr>
  </w:style>
  <w:style w:type="paragraph" w:styleId="22">
    <w:name w:val="header"/>
    <w:basedOn w:val="1"/>
    <w:link w:val="50"/>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3">
    <w:name w:val="toc 1"/>
    <w:basedOn w:val="1"/>
    <w:next w:val="1"/>
    <w:uiPriority w:val="99"/>
    <w:pPr>
      <w:tabs>
        <w:tab w:val="right" w:leader="dot" w:pos="9322"/>
      </w:tabs>
      <w:spacing w:after="100" w:line="360" w:lineRule="auto"/>
    </w:pPr>
    <w:rPr>
      <w:rFonts w:ascii="Calibri" w:hAnsi="Calibri" w:cs="Times New Roman"/>
      <w:sz w:val="22"/>
      <w:szCs w:val="22"/>
    </w:rPr>
  </w:style>
  <w:style w:type="paragraph" w:styleId="24">
    <w:name w:val="toc 4"/>
    <w:basedOn w:val="1"/>
    <w:next w:val="1"/>
    <w:uiPriority w:val="99"/>
    <w:pPr>
      <w:widowControl w:val="0"/>
      <w:tabs>
        <w:tab w:val="left" w:pos="1785"/>
        <w:tab w:val="right" w:leader="dot" w:pos="9345"/>
      </w:tabs>
      <w:spacing w:line="360" w:lineRule="auto"/>
      <w:ind w:left="390" w:leftChars="390"/>
    </w:pPr>
    <w:rPr>
      <w:rFonts w:hAnsi="Times New Roman" w:cs="Times New Roman"/>
      <w:kern w:val="2"/>
    </w:rPr>
  </w:style>
  <w:style w:type="paragraph" w:styleId="25">
    <w:name w:val="toc 6"/>
    <w:basedOn w:val="1"/>
    <w:next w:val="1"/>
    <w:uiPriority w:val="99"/>
    <w:pPr>
      <w:widowControl w:val="0"/>
      <w:spacing w:line="360" w:lineRule="auto"/>
      <w:ind w:left="2100" w:leftChars="1000" w:firstLine="200" w:firstLineChars="200"/>
    </w:pPr>
    <w:rPr>
      <w:rFonts w:hAnsi="Times New Roman" w:cs="Times New Roman"/>
      <w:kern w:val="2"/>
    </w:rPr>
  </w:style>
  <w:style w:type="paragraph" w:styleId="26">
    <w:name w:val="toc 2"/>
    <w:basedOn w:val="1"/>
    <w:next w:val="1"/>
    <w:uiPriority w:val="99"/>
    <w:pPr>
      <w:spacing w:after="100" w:line="276" w:lineRule="auto"/>
      <w:ind w:left="220"/>
    </w:pPr>
    <w:rPr>
      <w:rFonts w:ascii="Calibri" w:hAnsi="Calibri" w:cs="Times New Roman"/>
      <w:sz w:val="22"/>
      <w:szCs w:val="22"/>
    </w:rPr>
  </w:style>
  <w:style w:type="paragraph" w:styleId="27">
    <w:name w:val="toc 9"/>
    <w:basedOn w:val="1"/>
    <w:next w:val="1"/>
    <w:uiPriority w:val="99"/>
    <w:pPr>
      <w:widowControl w:val="0"/>
      <w:spacing w:line="360" w:lineRule="auto"/>
      <w:ind w:left="3360" w:leftChars="1600" w:firstLine="200" w:firstLineChars="200"/>
    </w:pPr>
    <w:rPr>
      <w:rFonts w:hAnsi="Times New Roman" w:cs="Times New Roman"/>
      <w:kern w:val="2"/>
    </w:rPr>
  </w:style>
  <w:style w:type="paragraph" w:styleId="28">
    <w:name w:val="index 1"/>
    <w:basedOn w:val="1"/>
    <w:next w:val="1"/>
    <w:semiHidden/>
    <w:uiPriority w:val="99"/>
    <w:pPr>
      <w:widowControl w:val="0"/>
      <w:spacing w:line="360" w:lineRule="auto"/>
      <w:ind w:firstLine="200" w:firstLineChars="200"/>
    </w:pPr>
    <w:rPr>
      <w:rFonts w:ascii="Times New Roman" w:hAnsi="Times New Roman" w:cs="Times New Roman"/>
      <w:kern w:val="2"/>
    </w:rPr>
  </w:style>
  <w:style w:type="paragraph" w:styleId="29">
    <w:name w:val="annotation subject"/>
    <w:basedOn w:val="15"/>
    <w:next w:val="15"/>
    <w:link w:val="51"/>
    <w:uiPriority w:val="99"/>
    <w:rPr>
      <w:b/>
      <w:bCs/>
    </w:rPr>
  </w:style>
  <w:style w:type="character" w:styleId="32">
    <w:name w:val="FollowedHyperlink"/>
    <w:basedOn w:val="31"/>
    <w:uiPriority w:val="99"/>
    <w:rPr>
      <w:rFonts w:cs="Times New Roman"/>
      <w:color w:val="800080"/>
      <w:u w:val="single"/>
    </w:rPr>
  </w:style>
  <w:style w:type="character" w:styleId="33">
    <w:name w:val="Emphasis"/>
    <w:basedOn w:val="31"/>
    <w:qFormat/>
    <w:uiPriority w:val="99"/>
    <w:rPr>
      <w:rFonts w:cs="Times New Roman"/>
      <w:i/>
      <w:iCs/>
    </w:rPr>
  </w:style>
  <w:style w:type="character" w:styleId="34">
    <w:name w:val="Hyperlink"/>
    <w:basedOn w:val="31"/>
    <w:uiPriority w:val="99"/>
    <w:rPr>
      <w:rFonts w:cs="Times New Roman"/>
      <w:color w:val="0000FF"/>
      <w:u w:val="single"/>
    </w:rPr>
  </w:style>
  <w:style w:type="character" w:styleId="35">
    <w:name w:val="annotation reference"/>
    <w:basedOn w:val="31"/>
    <w:uiPriority w:val="99"/>
    <w:rPr>
      <w:rFonts w:cs="Times New Roman"/>
      <w:sz w:val="21"/>
    </w:rPr>
  </w:style>
  <w:style w:type="character" w:customStyle="1" w:styleId="36">
    <w:name w:val="Heading 1 Char"/>
    <w:basedOn w:val="31"/>
    <w:link w:val="2"/>
    <w:locked/>
    <w:uiPriority w:val="99"/>
    <w:rPr>
      <w:rFonts w:eastAsia="黑体" w:cs="Times New Roman"/>
      <w:bCs/>
      <w:kern w:val="44"/>
      <w:sz w:val="144"/>
      <w:szCs w:val="144"/>
    </w:rPr>
  </w:style>
  <w:style w:type="character" w:customStyle="1" w:styleId="37">
    <w:name w:val="Heading 2 Char"/>
    <w:basedOn w:val="31"/>
    <w:link w:val="3"/>
    <w:locked/>
    <w:uiPriority w:val="99"/>
    <w:rPr>
      <w:rFonts w:ascii="Cambria" w:hAnsi="Cambria" w:eastAsia="黑体" w:cs="Times New Roman"/>
      <w:kern w:val="2"/>
      <w:sz w:val="32"/>
      <w:szCs w:val="32"/>
    </w:rPr>
  </w:style>
  <w:style w:type="character" w:customStyle="1" w:styleId="38">
    <w:name w:val="Heading 3 Char"/>
    <w:basedOn w:val="31"/>
    <w:link w:val="5"/>
    <w:locked/>
    <w:uiPriority w:val="99"/>
    <w:rPr>
      <w:rFonts w:eastAsia="黑体" w:cs="Times New Roman"/>
      <w:bCs/>
      <w:kern w:val="2"/>
      <w:sz w:val="32"/>
      <w:szCs w:val="32"/>
    </w:rPr>
  </w:style>
  <w:style w:type="character" w:customStyle="1" w:styleId="39">
    <w:name w:val="Heading 4 Char"/>
    <w:basedOn w:val="31"/>
    <w:link w:val="6"/>
    <w:locked/>
    <w:uiPriority w:val="99"/>
    <w:rPr>
      <w:rFonts w:ascii="Cambria" w:hAnsi="Cambria" w:eastAsia="黑体" w:cs="Times New Roman"/>
      <w:bCs/>
      <w:kern w:val="2"/>
      <w:sz w:val="28"/>
      <w:szCs w:val="28"/>
    </w:rPr>
  </w:style>
  <w:style w:type="character" w:customStyle="1" w:styleId="40">
    <w:name w:val="Heading 5 Char"/>
    <w:basedOn w:val="31"/>
    <w:link w:val="8"/>
    <w:locked/>
    <w:uiPriority w:val="99"/>
    <w:rPr>
      <w:rFonts w:ascii="Times New Roman" w:hAnsi="Times New Roman" w:eastAsia="宋体" w:cs="Times New Roman"/>
      <w:bCs/>
      <w:kern w:val="2"/>
      <w:sz w:val="22"/>
      <w:szCs w:val="22"/>
    </w:rPr>
  </w:style>
  <w:style w:type="character" w:customStyle="1" w:styleId="41">
    <w:name w:val="Heading 6 Char"/>
    <w:basedOn w:val="31"/>
    <w:link w:val="9"/>
    <w:locked/>
    <w:uiPriority w:val="99"/>
    <w:rPr>
      <w:rFonts w:ascii="Times New Roman" w:hAnsi="Times New Roman" w:eastAsia="黑体" w:cs="Times New Roman"/>
      <w:bCs/>
      <w:kern w:val="44"/>
      <w:sz w:val="28"/>
      <w:szCs w:val="28"/>
    </w:rPr>
  </w:style>
  <w:style w:type="character" w:customStyle="1" w:styleId="42">
    <w:name w:val="Heading 7 Char"/>
    <w:basedOn w:val="31"/>
    <w:link w:val="10"/>
    <w:locked/>
    <w:uiPriority w:val="99"/>
    <w:rPr>
      <w:rFonts w:ascii="Times New Roman" w:hAnsi="Times New Roman" w:eastAsia="黑体" w:cs="Times New Roman"/>
      <w:bCs/>
      <w:kern w:val="44"/>
      <w:sz w:val="28"/>
      <w:szCs w:val="28"/>
    </w:rPr>
  </w:style>
  <w:style w:type="character" w:customStyle="1" w:styleId="43">
    <w:name w:val="Heading 8 Char"/>
    <w:basedOn w:val="31"/>
    <w:link w:val="11"/>
    <w:locked/>
    <w:uiPriority w:val="99"/>
    <w:rPr>
      <w:rFonts w:ascii="Cambria" w:hAnsi="Cambria" w:eastAsia="宋体" w:cs="Times New Roman"/>
      <w:sz w:val="24"/>
      <w:szCs w:val="24"/>
    </w:rPr>
  </w:style>
  <w:style w:type="character" w:customStyle="1" w:styleId="44">
    <w:name w:val="Heading 9 Char"/>
    <w:basedOn w:val="31"/>
    <w:link w:val="12"/>
    <w:locked/>
    <w:uiPriority w:val="99"/>
    <w:rPr>
      <w:rFonts w:ascii="Cambria" w:hAnsi="Cambria" w:eastAsia="宋体" w:cs="Times New Roman"/>
      <w:sz w:val="21"/>
      <w:szCs w:val="21"/>
    </w:rPr>
  </w:style>
  <w:style w:type="character" w:customStyle="1" w:styleId="45">
    <w:name w:val="Title Char"/>
    <w:basedOn w:val="31"/>
    <w:link w:val="4"/>
    <w:locked/>
    <w:uiPriority w:val="99"/>
    <w:rPr>
      <w:rFonts w:ascii="Cambria" w:hAnsi="Cambria" w:eastAsia="宋体" w:cs="Times New Roman"/>
      <w:b/>
      <w:bCs/>
      <w:sz w:val="32"/>
      <w:szCs w:val="32"/>
    </w:rPr>
  </w:style>
  <w:style w:type="character" w:customStyle="1" w:styleId="46">
    <w:name w:val="Comment Text Char"/>
    <w:basedOn w:val="31"/>
    <w:link w:val="15"/>
    <w:locked/>
    <w:uiPriority w:val="99"/>
    <w:rPr>
      <w:rFonts w:cs="Times New Roman"/>
      <w:kern w:val="2"/>
      <w:sz w:val="24"/>
    </w:rPr>
  </w:style>
  <w:style w:type="character" w:customStyle="1" w:styleId="47">
    <w:name w:val="Date Char"/>
    <w:basedOn w:val="31"/>
    <w:link w:val="19"/>
    <w:semiHidden/>
    <w:locked/>
    <w:uiPriority w:val="99"/>
    <w:rPr>
      <w:rFonts w:ascii="宋体" w:hAnsi="宋体" w:eastAsia="宋体" w:cs="宋体"/>
      <w:sz w:val="24"/>
      <w:szCs w:val="24"/>
    </w:rPr>
  </w:style>
  <w:style w:type="character" w:customStyle="1" w:styleId="48">
    <w:name w:val="Balloon Text Char"/>
    <w:basedOn w:val="31"/>
    <w:link w:val="20"/>
    <w:locked/>
    <w:uiPriority w:val="99"/>
    <w:rPr>
      <w:rFonts w:cs="Times New Roman"/>
      <w:sz w:val="18"/>
      <w:szCs w:val="18"/>
    </w:rPr>
  </w:style>
  <w:style w:type="character" w:customStyle="1" w:styleId="49">
    <w:name w:val="Footer Char"/>
    <w:basedOn w:val="31"/>
    <w:link w:val="21"/>
    <w:locked/>
    <w:uiPriority w:val="99"/>
    <w:rPr>
      <w:rFonts w:cs="Times New Roman"/>
      <w:sz w:val="18"/>
      <w:szCs w:val="18"/>
    </w:rPr>
  </w:style>
  <w:style w:type="character" w:customStyle="1" w:styleId="50">
    <w:name w:val="Header Char"/>
    <w:basedOn w:val="31"/>
    <w:link w:val="22"/>
    <w:locked/>
    <w:uiPriority w:val="99"/>
    <w:rPr>
      <w:rFonts w:cs="Times New Roman"/>
      <w:sz w:val="18"/>
      <w:szCs w:val="18"/>
    </w:rPr>
  </w:style>
  <w:style w:type="character" w:customStyle="1" w:styleId="51">
    <w:name w:val="Comment Subject Char"/>
    <w:basedOn w:val="46"/>
    <w:link w:val="29"/>
    <w:locked/>
    <w:uiPriority w:val="99"/>
    <w:rPr>
      <w:b/>
    </w:rPr>
  </w:style>
  <w:style w:type="character" w:customStyle="1" w:styleId="52">
    <w:name w:val="List Paragraph Char"/>
    <w:link w:val="7"/>
    <w:locked/>
    <w:uiPriority w:val="99"/>
    <w:rPr>
      <w:rFonts w:ascii="Calibri" w:hAnsi="Calibri" w:eastAsia="宋体"/>
    </w:rPr>
  </w:style>
  <w:style w:type="paragraph" w:customStyle="1" w:styleId="53">
    <w:name w:val="TOC 标题1"/>
    <w:basedOn w:val="2"/>
    <w:next w:val="1"/>
    <w:uiPriority w:val="99"/>
    <w:pPr>
      <w:widowControl/>
      <w:spacing w:before="480" w:after="0" w:line="276" w:lineRule="auto"/>
      <w:jc w:val="left"/>
      <w:outlineLvl w:val="9"/>
    </w:pPr>
    <w:rPr>
      <w:rFonts w:ascii="Cambria" w:hAnsi="Cambria" w:eastAsia="宋体"/>
      <w:color w:val="365F91"/>
      <w:kern w:val="0"/>
      <w:sz w:val="28"/>
      <w:szCs w:val="28"/>
    </w:rPr>
  </w:style>
  <w:style w:type="paragraph" w:customStyle="1" w:styleId="54">
    <w:name w:val="二级标题"/>
    <w:basedOn w:val="5"/>
    <w:link w:val="55"/>
    <w:uiPriority w:val="99"/>
    <w:pPr>
      <w:widowControl/>
      <w:numPr>
        <w:numId w:val="6"/>
      </w:numPr>
      <w:spacing w:before="100" w:beforeAutospacing="1" w:after="100" w:afterAutospacing="1" w:line="240" w:lineRule="auto"/>
      <w:outlineLvl w:val="1"/>
    </w:pPr>
    <w:rPr>
      <w:rFonts w:ascii="Times New Roman" w:hAnsi="Times New Roman"/>
      <w:b/>
      <w:bCs w:val="0"/>
      <w:kern w:val="44"/>
      <w:szCs w:val="28"/>
    </w:rPr>
  </w:style>
  <w:style w:type="character" w:customStyle="1" w:styleId="55">
    <w:name w:val="二级标题 字符"/>
    <w:basedOn w:val="38"/>
    <w:link w:val="54"/>
    <w:locked/>
    <w:uiPriority w:val="99"/>
    <w:rPr>
      <w:rFonts w:ascii="Times New Roman" w:hAnsi="Times New Roman"/>
      <w:b/>
      <w:kern w:val="44"/>
      <w:sz w:val="28"/>
      <w:szCs w:val="28"/>
    </w:rPr>
  </w:style>
  <w:style w:type="character" w:customStyle="1" w:styleId="56">
    <w:name w:val="列出段落 Char1"/>
    <w:uiPriority w:val="99"/>
    <w:rPr>
      <w:kern w:val="2"/>
      <w:sz w:val="24"/>
    </w:rPr>
  </w:style>
  <w:style w:type="character" w:customStyle="1" w:styleId="57">
    <w:name w:val="ask-title"/>
    <w:basedOn w:val="31"/>
    <w:uiPriority w:val="99"/>
    <w:rPr>
      <w:rFonts w:cs="Times New Roman"/>
    </w:rPr>
  </w:style>
  <w:style w:type="paragraph" w:customStyle="1" w:styleId="58">
    <w:name w:val="封面上部"/>
    <w:basedOn w:val="1"/>
    <w:uiPriority w:val="99"/>
    <w:pPr>
      <w:widowControl w:val="0"/>
      <w:tabs>
        <w:tab w:val="left" w:pos="8280"/>
      </w:tabs>
      <w:adjustRightInd w:val="0"/>
      <w:spacing w:line="360" w:lineRule="auto"/>
      <w:ind w:right="26"/>
      <w:jc w:val="center"/>
      <w:outlineLvl w:val="0"/>
    </w:pPr>
    <w:rPr>
      <w:rFonts w:ascii="Arial" w:hAnsi="Times New Roman" w:eastAsia="黑体" w:cs="Times New Roman"/>
      <w:color w:val="000000"/>
      <w:sz w:val="32"/>
      <w:szCs w:val="20"/>
    </w:rPr>
  </w:style>
  <w:style w:type="paragraph" w:customStyle="1" w:styleId="59">
    <w:name w:val="font5"/>
    <w:basedOn w:val="1"/>
    <w:uiPriority w:val="99"/>
    <w:pPr>
      <w:spacing w:before="100" w:beforeAutospacing="1" w:after="100" w:afterAutospacing="1"/>
    </w:pPr>
    <w:rPr>
      <w:sz w:val="18"/>
      <w:szCs w:val="18"/>
    </w:rPr>
  </w:style>
  <w:style w:type="paragraph" w:customStyle="1" w:styleId="60">
    <w:name w:val="xl68"/>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1">
    <w:name w:val="xl69"/>
    <w:basedOn w:val="1"/>
    <w:uiPriority w:val="99"/>
    <w:pPr>
      <w:spacing w:before="100" w:beforeAutospacing="1" w:after="100" w:afterAutospacing="1"/>
      <w:jc w:val="center"/>
    </w:pPr>
  </w:style>
  <w:style w:type="paragraph" w:customStyle="1" w:styleId="62">
    <w:name w:val="xl70"/>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3">
    <w:name w:val="xl71"/>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64">
    <w:name w:val="xl72"/>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5">
    <w:name w:val="xl73"/>
    <w:basedOn w:val="1"/>
    <w:uiPriority w:val="99"/>
    <w:pPr>
      <w:spacing w:before="100" w:beforeAutospacing="1" w:after="100" w:afterAutospacing="1"/>
      <w:jc w:val="center"/>
    </w:pPr>
  </w:style>
  <w:style w:type="paragraph" w:customStyle="1" w:styleId="66">
    <w:name w:val="xl74"/>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character" w:customStyle="1" w:styleId="67">
    <w:name w:val="apple-converted-space"/>
    <w:basedOn w:val="31"/>
    <w:uiPriority w:val="99"/>
    <w:rPr>
      <w:rFonts w:cs="Times New Roman"/>
    </w:rPr>
  </w:style>
  <w:style w:type="paragraph" w:customStyle="1" w:styleId="68">
    <w:name w:val="xl127"/>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69">
    <w:name w:val="xl128"/>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70">
    <w:name w:val="xl129"/>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71">
    <w:name w:val="xl130"/>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72">
    <w:name w:val="xl131"/>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0"/>
      <w:szCs w:val="20"/>
    </w:rPr>
  </w:style>
  <w:style w:type="paragraph" w:customStyle="1" w:styleId="73">
    <w:name w:val="xl132"/>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0"/>
      <w:szCs w:val="20"/>
    </w:rPr>
  </w:style>
  <w:style w:type="paragraph" w:customStyle="1" w:styleId="74">
    <w:name w:val="xl133"/>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75">
    <w:name w:val="xl134"/>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76">
    <w:name w:val="xl135"/>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0"/>
      <w:szCs w:val="20"/>
    </w:rPr>
  </w:style>
  <w:style w:type="paragraph" w:customStyle="1" w:styleId="77">
    <w:name w:val="xl136"/>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0"/>
      <w:szCs w:val="20"/>
    </w:rPr>
  </w:style>
  <w:style w:type="paragraph" w:customStyle="1" w:styleId="78">
    <w:name w:val="xl137"/>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79">
    <w:name w:val="xl138"/>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0"/>
      <w:szCs w:val="20"/>
    </w:rPr>
  </w:style>
  <w:style w:type="paragraph" w:customStyle="1" w:styleId="80">
    <w:name w:val="xl139"/>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1">
    <w:name w:val="xl140"/>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2">
    <w:name w:val="xl141"/>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3">
    <w:name w:val="xl142"/>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4">
    <w:name w:val="xl143"/>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5">
    <w:name w:val="xl144"/>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6">
    <w:name w:val="xl145"/>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7">
    <w:name w:val="xl146"/>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8">
    <w:name w:val="xl147"/>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9">
    <w:name w:val="xl148"/>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90">
    <w:name w:val="xl149"/>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0"/>
      <w:szCs w:val="20"/>
    </w:rPr>
  </w:style>
  <w:style w:type="paragraph" w:customStyle="1" w:styleId="91">
    <w:name w:val="xl151"/>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92">
    <w:name w:val="font6"/>
    <w:basedOn w:val="1"/>
    <w:uiPriority w:val="99"/>
    <w:pPr>
      <w:spacing w:before="100" w:beforeAutospacing="1" w:after="100" w:afterAutospacing="1"/>
    </w:pPr>
    <w:rPr>
      <w:color w:val="000000"/>
      <w:sz w:val="21"/>
      <w:szCs w:val="21"/>
    </w:rPr>
  </w:style>
  <w:style w:type="paragraph" w:customStyle="1" w:styleId="93">
    <w:name w:val="font7"/>
    <w:basedOn w:val="1"/>
    <w:uiPriority w:val="99"/>
    <w:pPr>
      <w:spacing w:before="100" w:beforeAutospacing="1" w:after="100" w:afterAutospacing="1"/>
    </w:pPr>
    <w:rPr>
      <w:rFonts w:ascii="Times New Roman" w:hAnsi="Times New Roman" w:cs="Times New Roman"/>
      <w:color w:val="000000"/>
      <w:sz w:val="21"/>
      <w:szCs w:val="21"/>
    </w:rPr>
  </w:style>
  <w:style w:type="paragraph" w:customStyle="1" w:styleId="94">
    <w:name w:val="font8"/>
    <w:basedOn w:val="1"/>
    <w:uiPriority w:val="99"/>
    <w:pPr>
      <w:spacing w:before="100" w:beforeAutospacing="1" w:after="100" w:afterAutospacing="1"/>
    </w:pPr>
    <w:rPr>
      <w:rFonts w:ascii="Times New Roman" w:hAnsi="Times New Roman" w:cs="Times New Roman"/>
      <w:color w:val="FF0000"/>
      <w:sz w:val="21"/>
      <w:szCs w:val="21"/>
    </w:rPr>
  </w:style>
  <w:style w:type="paragraph" w:customStyle="1" w:styleId="95">
    <w:name w:val="xl63"/>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1"/>
      <w:szCs w:val="21"/>
    </w:rPr>
  </w:style>
  <w:style w:type="paragraph" w:customStyle="1" w:styleId="96">
    <w:name w:val="xl64"/>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97">
    <w:name w:val="xl65"/>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1"/>
      <w:szCs w:val="21"/>
    </w:rPr>
  </w:style>
  <w:style w:type="paragraph" w:customStyle="1" w:styleId="98">
    <w:name w:val="xl66"/>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1"/>
      <w:szCs w:val="21"/>
    </w:rPr>
  </w:style>
  <w:style w:type="paragraph" w:customStyle="1" w:styleId="99">
    <w:name w:val="xl67"/>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0">
    <w:name w:val="msonormal"/>
    <w:basedOn w:val="1"/>
    <w:uiPriority w:val="99"/>
    <w:pPr>
      <w:spacing w:before="100" w:beforeAutospacing="1" w:after="100" w:afterAutospacing="1"/>
    </w:pPr>
  </w:style>
  <w:style w:type="paragraph" w:customStyle="1" w:styleId="101">
    <w:name w:val="目录标题"/>
    <w:basedOn w:val="1"/>
    <w:uiPriority w:val="99"/>
    <w:pPr>
      <w:keepNext/>
      <w:keepLines/>
      <w:spacing w:beforeLines="100" w:afterLines="100"/>
      <w:jc w:val="center"/>
    </w:pPr>
    <w:rPr>
      <w:rFonts w:ascii="Times New Roman" w:hAnsi="Times New Roman" w:eastAsia="黑体"/>
      <w:color w:val="000000"/>
      <w:spacing w:val="200"/>
      <w:sz w:val="32"/>
      <w:szCs w:val="32"/>
    </w:rPr>
  </w:style>
  <w:style w:type="paragraph" w:customStyle="1" w:styleId="102">
    <w:name w:val="xl75"/>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18"/>
      <w:szCs w:val="18"/>
    </w:rPr>
  </w:style>
  <w:style w:type="paragraph" w:customStyle="1" w:styleId="103">
    <w:name w:val="xl76"/>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sz w:val="18"/>
      <w:szCs w:val="18"/>
    </w:rPr>
  </w:style>
  <w:style w:type="paragraph" w:customStyle="1" w:styleId="104">
    <w:name w:val="xl77"/>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rPr>
  </w:style>
  <w:style w:type="character" w:customStyle="1" w:styleId="105">
    <w:name w:val="图纸目录 Char Char"/>
    <w:link w:val="106"/>
    <w:locked/>
    <w:uiPriority w:val="99"/>
    <w:rPr>
      <w:kern w:val="2"/>
      <w:sz w:val="24"/>
    </w:rPr>
  </w:style>
  <w:style w:type="paragraph" w:customStyle="1" w:styleId="106">
    <w:name w:val="图纸目录"/>
    <w:basedOn w:val="1"/>
    <w:link w:val="105"/>
    <w:uiPriority w:val="99"/>
    <w:pPr>
      <w:widowControl w:val="0"/>
      <w:tabs>
        <w:tab w:val="left" w:pos="840"/>
        <w:tab w:val="left" w:pos="960"/>
        <w:tab w:val="left" w:pos="1080"/>
        <w:tab w:val="right" w:pos="9379"/>
      </w:tabs>
      <w:adjustRightInd w:val="0"/>
      <w:spacing w:line="360" w:lineRule="auto"/>
      <w:ind w:left="988" w:hanging="420"/>
      <w:jc w:val="both"/>
    </w:pPr>
    <w:rPr>
      <w:rFonts w:ascii="Calibri" w:hAnsi="Calibri" w:cs="Times New Roman"/>
      <w:kern w:val="2"/>
      <w:szCs w:val="20"/>
    </w:rPr>
  </w:style>
  <w:style w:type="character" w:customStyle="1" w:styleId="107">
    <w:name w:val="表格内容五号 Char"/>
    <w:link w:val="108"/>
    <w:locked/>
    <w:uiPriority w:val="99"/>
    <w:rPr>
      <w:sz w:val="21"/>
    </w:rPr>
  </w:style>
  <w:style w:type="paragraph" w:customStyle="1" w:styleId="108">
    <w:name w:val="表格内容五号"/>
    <w:basedOn w:val="1"/>
    <w:link w:val="107"/>
    <w:uiPriority w:val="99"/>
    <w:pPr>
      <w:widowControl w:val="0"/>
      <w:jc w:val="center"/>
    </w:pPr>
    <w:rPr>
      <w:rFonts w:ascii="Calibri" w:hAnsi="Calibri" w:cs="Times New Roman"/>
      <w:sz w:val="21"/>
      <w:szCs w:val="20"/>
    </w:rPr>
  </w:style>
  <w:style w:type="paragraph" w:customStyle="1" w:styleId="109">
    <w:name w:val="表格内容五号(V1)"/>
    <w:basedOn w:val="1"/>
    <w:uiPriority w:val="99"/>
    <w:pPr>
      <w:widowControl w:val="0"/>
      <w:jc w:val="center"/>
    </w:pPr>
    <w:rPr>
      <w:rFonts w:ascii="Times New Roman" w:hAnsi="Times New Roman" w:cs="Arial Unicode MS"/>
      <w:sz w:val="21"/>
      <w:szCs w:val="21"/>
    </w:rPr>
  </w:style>
  <w:style w:type="character" w:customStyle="1" w:styleId="110">
    <w:name w:val="页脚 字符1"/>
    <w:basedOn w:val="31"/>
    <w:semiHidden/>
    <w:uiPriority w:val="99"/>
    <w:rPr>
      <w:rFonts w:cs="Times New Roman"/>
      <w:kern w:val="2"/>
      <w:sz w:val="18"/>
      <w:szCs w:val="18"/>
    </w:rPr>
  </w:style>
  <w:style w:type="character" w:customStyle="1" w:styleId="111">
    <w:name w:val="批注文字 字符1"/>
    <w:basedOn w:val="31"/>
    <w:semiHidden/>
    <w:uiPriority w:val="99"/>
    <w:rPr>
      <w:rFonts w:ascii="宋体" w:hAnsi="宋体" w:eastAsia="宋体" w:cs="宋体"/>
      <w:sz w:val="24"/>
      <w:szCs w:val="24"/>
    </w:rPr>
  </w:style>
  <w:style w:type="paragraph" w:customStyle="1" w:styleId="112">
    <w:name w:val="正文一级项目列"/>
    <w:basedOn w:val="1"/>
    <w:uiPriority w:val="99"/>
    <w:pPr>
      <w:widowControl w:val="0"/>
      <w:numPr>
        <w:ilvl w:val="0"/>
        <w:numId w:val="7"/>
      </w:numPr>
      <w:tabs>
        <w:tab w:val="left" w:pos="0"/>
        <w:tab w:val="left" w:pos="840"/>
      </w:tabs>
      <w:spacing w:line="360" w:lineRule="auto"/>
    </w:pPr>
    <w:rPr>
      <w:rFonts w:ascii="Times New Roman" w:hAnsi="Times New Roman" w:cs="Times New Roman"/>
      <w:kern w:val="2"/>
    </w:rPr>
  </w:style>
  <w:style w:type="paragraph" w:customStyle="1" w:styleId="113">
    <w:name w:val="目录三级"/>
    <w:basedOn w:val="17"/>
    <w:uiPriority w:val="99"/>
    <w:pPr>
      <w:widowControl w:val="0"/>
      <w:tabs>
        <w:tab w:val="left" w:pos="1155"/>
        <w:tab w:val="right" w:leader="dot" w:pos="9380"/>
      </w:tabs>
      <w:spacing w:after="0" w:line="360" w:lineRule="auto"/>
      <w:ind w:left="220" w:leftChars="220"/>
      <w:jc w:val="both"/>
    </w:pPr>
    <w:rPr>
      <w:rFonts w:ascii="Times New Roman" w:hAnsi="Times New Roman" w:cs="宋体"/>
      <w:kern w:val="2"/>
      <w:sz w:val="24"/>
      <w:szCs w:val="24"/>
    </w:rPr>
  </w:style>
  <w:style w:type="character" w:customStyle="1" w:styleId="114">
    <w:name w:val="批注主题 字符1"/>
    <w:basedOn w:val="111"/>
    <w:semiHidden/>
    <w:uiPriority w:val="99"/>
    <w:rPr>
      <w:b/>
      <w:bCs/>
    </w:rPr>
  </w:style>
  <w:style w:type="paragraph" w:customStyle="1" w:styleId="115">
    <w:name w:val="正文二级项目列"/>
    <w:basedOn w:val="1"/>
    <w:uiPriority w:val="99"/>
    <w:pPr>
      <w:widowControl w:val="0"/>
      <w:numPr>
        <w:ilvl w:val="0"/>
        <w:numId w:val="8"/>
      </w:numPr>
      <w:tabs>
        <w:tab w:val="left" w:pos="0"/>
        <w:tab w:val="left" w:pos="840"/>
      </w:tabs>
      <w:spacing w:line="360" w:lineRule="auto"/>
    </w:pPr>
    <w:rPr>
      <w:rFonts w:ascii="Times New Roman" w:hAnsi="Times New Roman" w:cs="Times New Roman"/>
      <w:kern w:val="2"/>
    </w:rPr>
  </w:style>
  <w:style w:type="paragraph" w:customStyle="1" w:styleId="116">
    <w:name w:val="目录二级"/>
    <w:basedOn w:val="26"/>
    <w:uiPriority w:val="99"/>
    <w:pPr>
      <w:keepLines/>
      <w:tabs>
        <w:tab w:val="left" w:pos="735"/>
        <w:tab w:val="right" w:leader="dot" w:pos="9380"/>
      </w:tabs>
      <w:spacing w:after="0" w:line="360" w:lineRule="auto"/>
      <w:ind w:left="130" w:leftChars="130"/>
      <w:jc w:val="both"/>
    </w:pPr>
    <w:rPr>
      <w:rFonts w:ascii="Times New Roman" w:hAnsi="Times New Roman" w:cs="宋体"/>
      <w:kern w:val="2"/>
      <w:sz w:val="24"/>
      <w:szCs w:val="24"/>
    </w:rPr>
  </w:style>
  <w:style w:type="paragraph" w:customStyle="1" w:styleId="117">
    <w:name w:val="表格内容小五"/>
    <w:basedOn w:val="108"/>
    <w:uiPriority w:val="99"/>
    <w:rPr>
      <w:sz w:val="18"/>
      <w:szCs w:val="18"/>
    </w:rPr>
  </w:style>
  <w:style w:type="character" w:customStyle="1" w:styleId="118">
    <w:name w:val="页眉 字符1"/>
    <w:basedOn w:val="31"/>
    <w:semiHidden/>
    <w:uiPriority w:val="99"/>
    <w:rPr>
      <w:rFonts w:cs="Times New Roman"/>
      <w:kern w:val="2"/>
      <w:sz w:val="18"/>
      <w:szCs w:val="18"/>
    </w:rPr>
  </w:style>
  <w:style w:type="character" w:customStyle="1" w:styleId="119">
    <w:name w:val="批注框文本 字符1"/>
    <w:basedOn w:val="31"/>
    <w:semiHidden/>
    <w:uiPriority w:val="99"/>
    <w:rPr>
      <w:rFonts w:cs="Times New Roman"/>
      <w:kern w:val="2"/>
      <w:sz w:val="18"/>
      <w:szCs w:val="18"/>
    </w:rPr>
  </w:style>
  <w:style w:type="paragraph" w:customStyle="1" w:styleId="120">
    <w:name w:val="正文三级项目列"/>
    <w:basedOn w:val="1"/>
    <w:uiPriority w:val="99"/>
    <w:pPr>
      <w:widowControl w:val="0"/>
      <w:numPr>
        <w:ilvl w:val="0"/>
        <w:numId w:val="9"/>
      </w:numPr>
      <w:tabs>
        <w:tab w:val="left" w:pos="0"/>
        <w:tab w:val="left" w:pos="840"/>
      </w:tabs>
      <w:spacing w:line="360" w:lineRule="auto"/>
    </w:pPr>
    <w:rPr>
      <w:rFonts w:ascii="Times New Roman" w:hAnsi="Times New Roman" w:cs="Times New Roman"/>
      <w:kern w:val="2"/>
    </w:rPr>
  </w:style>
  <w:style w:type="paragraph" w:customStyle="1" w:styleId="121">
    <w:name w:val="目录一级"/>
    <w:basedOn w:val="23"/>
    <w:uiPriority w:val="99"/>
    <w:pPr>
      <w:keepLines/>
      <w:tabs>
        <w:tab w:val="left" w:pos="552"/>
        <w:tab w:val="right" w:leader="dot" w:pos="9380"/>
        <w:tab w:val="clear" w:pos="9322"/>
      </w:tabs>
      <w:spacing w:beforeLines="50" w:afterLines="50"/>
      <w:jc w:val="both"/>
    </w:pPr>
    <w:rPr>
      <w:rFonts w:ascii="Times New Roman" w:hAnsi="Times New Roman" w:eastAsia="黑体"/>
      <w:kern w:val="2"/>
      <w:sz w:val="24"/>
      <w:szCs w:val="24"/>
    </w:rPr>
  </w:style>
  <w:style w:type="paragraph" w:customStyle="1" w:styleId="122">
    <w:name w:val="图纸编号"/>
    <w:basedOn w:val="106"/>
    <w:uiPriority w:val="99"/>
    <w:pPr>
      <w:ind w:left="0" w:firstLine="0"/>
      <w:jc w:val="right"/>
    </w:pPr>
    <w:rPr>
      <w:rFonts w:cs="宋体"/>
    </w:rPr>
  </w:style>
  <w:style w:type="paragraph" w:customStyle="1" w:styleId="123">
    <w:name w:val="表格"/>
    <w:basedOn w:val="1"/>
    <w:semiHidden/>
    <w:uiPriority w:val="99"/>
    <w:pPr>
      <w:tabs>
        <w:tab w:val="left" w:pos="960"/>
        <w:tab w:val="left" w:pos="3828"/>
      </w:tabs>
      <w:overflowPunct w:val="0"/>
      <w:autoSpaceDE w:val="0"/>
      <w:autoSpaceDN w:val="0"/>
      <w:adjustRightInd w:val="0"/>
      <w:spacing w:line="400" w:lineRule="atLeast"/>
      <w:ind w:right="-108" w:firstLine="480" w:firstLineChars="200"/>
      <w:jc w:val="center"/>
      <w:textAlignment w:val="baseline"/>
    </w:pPr>
    <w:rPr>
      <w:rFonts w:hAnsi="Times New Roman" w:cs="Times New Roman"/>
      <w:color w:val="000000"/>
      <w:szCs w:val="20"/>
    </w:rPr>
  </w:style>
  <w:style w:type="paragraph" w:customStyle="1" w:styleId="124">
    <w:name w:val="样式 目录 2 + 左侧:  1.3 字符"/>
    <w:basedOn w:val="26"/>
    <w:uiPriority w:val="99"/>
    <w:pPr>
      <w:keepLines/>
      <w:tabs>
        <w:tab w:val="left" w:pos="735"/>
        <w:tab w:val="right" w:leader="dot" w:pos="9380"/>
      </w:tabs>
      <w:spacing w:after="0" w:line="360" w:lineRule="auto"/>
      <w:ind w:left="312" w:leftChars="130"/>
      <w:jc w:val="both"/>
    </w:pPr>
    <w:rPr>
      <w:rFonts w:ascii="Times New Roman" w:hAnsi="Times New Roman" w:cs="宋体"/>
      <w:kern w:val="2"/>
      <w:sz w:val="24"/>
      <w:szCs w:val="20"/>
    </w:rPr>
  </w:style>
  <w:style w:type="table" w:customStyle="1" w:styleId="125">
    <w:name w:val="表格边框"/>
    <w:uiPriority w:val="99"/>
    <w:rPr>
      <w:rFonts w:ascii="Times New Roman" w:hAnsi="Times New Roman"/>
      <w:kern w:val="0"/>
      <w:sz w:val="20"/>
      <w:szCs w:val="20"/>
    </w:rPr>
    <w:tblPr>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
    <w:trPr>
      <w:cantSplit/>
      <w:jc w:val="center"/>
    </w:trPr>
  </w:style>
  <w:style w:type="character" w:customStyle="1" w:styleId="126">
    <w:name w:val="Unresolved Mention"/>
    <w:basedOn w:val="31"/>
    <w:semiHidden/>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77.emf"/><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3.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jpe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jpe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png"/><Relationship Id="rId77" Type="http://schemas.openxmlformats.org/officeDocument/2006/relationships/image" Target="media/image62.jpeg"/><Relationship Id="rId76" Type="http://schemas.openxmlformats.org/officeDocument/2006/relationships/image" Target="media/image61.pn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header" Target="header4.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jpe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jpe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header" Target="header3.xml"/><Relationship Id="rId59" Type="http://schemas.openxmlformats.org/officeDocument/2006/relationships/image" Target="media/image44.png"/><Relationship Id="rId58" Type="http://schemas.openxmlformats.org/officeDocument/2006/relationships/image" Target="media/image43.jpe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png"/><Relationship Id="rId50" Type="http://schemas.openxmlformats.org/officeDocument/2006/relationships/image" Target="media/image35.jpeg"/><Relationship Id="rId5" Type="http://schemas.openxmlformats.org/officeDocument/2006/relationships/header" Target="header2.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1.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emf"/><Relationship Id="rId23" Type="http://schemas.openxmlformats.org/officeDocument/2006/relationships/image" Target="media/image8.emf"/><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8"/>
    <customShpInfo spid="_x0000_s1029"/>
    <customShpInfo spid="_x0000_s1027"/>
    <customShpInfo spid="_x0000_s1031"/>
    <customShpInfo spid="_x0000_s1032"/>
    <customShpInfo spid="_x0000_s1030"/>
    <customShpInfo spid="_x0000_s1026"/>
    <customShpInfo spid="_x0000_s1035"/>
    <customShpInfo spid="_x0000_s1036"/>
    <customShpInfo spid="_x0000_s1034"/>
    <customShpInfo spid="_x0000_s1038"/>
    <customShpInfo spid="_x0000_s1039"/>
    <customShpInfo spid="_x0000_s1037"/>
    <customShpInfo spid="_x0000_s1033"/>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166</Pages>
  <Words>27241</Words>
  <Lines>0</Lines>
  <Paragraphs>0</Paragraphs>
  <TotalTime>660</TotalTime>
  <ScaleCrop>false</ScaleCrop>
  <LinksUpToDate>false</LinksUpToDate>
  <CharactersWithSpaces>0</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2019-07-24T17:20:00Z</dcterms:created>
  <dc:creator>leeary</dc:creator>
  <cp:lastModifiedBy>文件查询</cp:lastModifiedBy>
  <cp:lastPrinted>2020-03-19T09:41:00Z</cp:lastPrinted>
  <dcterms:modified xsi:type="dcterms:W3CDTF">2024-12-12T02:58:44Z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AACF9281C38043B2AA224CDDA2ABEEB5</vt:lpwstr>
  </property>
</Properties>
</file>