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附件</w:t>
      </w:r>
    </w:p>
    <w:p>
      <w:pPr>
        <w:widowControl/>
        <w:adjustRightInd w:val="0"/>
        <w:snapToGrid w:val="0"/>
        <w:spacing w:line="560" w:lineRule="exact"/>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梁平区商务领域市场主体轻微违法行为免罚清单（试行）</w:t>
      </w:r>
    </w:p>
    <w:tbl>
      <w:tblPr>
        <w:tblStyle w:val="3"/>
        <w:tblW w:w="12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4555"/>
        <w:gridCol w:w="3015"/>
        <w:gridCol w:w="4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78" w:type="dxa"/>
            <w:vAlign w:val="center"/>
          </w:tcPr>
          <w:p>
            <w:pPr>
              <w:widowControl/>
              <w:adjustRightInd w:val="0"/>
              <w:snapToGrid w:val="0"/>
              <w:spacing w:line="400" w:lineRule="exact"/>
              <w:jc w:val="center"/>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序号</w:t>
            </w:r>
          </w:p>
        </w:tc>
        <w:tc>
          <w:tcPr>
            <w:tcW w:w="4555" w:type="dxa"/>
            <w:vAlign w:val="center"/>
          </w:tcPr>
          <w:p>
            <w:pPr>
              <w:widowControl/>
              <w:adjustRightInd w:val="0"/>
              <w:snapToGrid w:val="0"/>
              <w:spacing w:line="400" w:lineRule="exact"/>
              <w:jc w:val="center"/>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违法行为种类</w:t>
            </w:r>
          </w:p>
        </w:tc>
        <w:tc>
          <w:tcPr>
            <w:tcW w:w="3015" w:type="dxa"/>
            <w:vAlign w:val="center"/>
          </w:tcPr>
          <w:p>
            <w:pPr>
              <w:widowControl/>
              <w:adjustRightInd w:val="0"/>
              <w:snapToGrid w:val="0"/>
              <w:spacing w:line="400" w:lineRule="exact"/>
              <w:jc w:val="center"/>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适用条件</w:t>
            </w:r>
          </w:p>
        </w:tc>
        <w:tc>
          <w:tcPr>
            <w:tcW w:w="4085" w:type="dxa"/>
            <w:vAlign w:val="center"/>
          </w:tcPr>
          <w:p>
            <w:pPr>
              <w:widowControl/>
              <w:adjustRightInd w:val="0"/>
              <w:snapToGrid w:val="0"/>
              <w:spacing w:line="400" w:lineRule="exact"/>
              <w:jc w:val="center"/>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法律、法规和规章依据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33" w:type="dxa"/>
            <w:gridSpan w:val="4"/>
            <w:vAlign w:val="center"/>
          </w:tcPr>
          <w:p>
            <w:pPr>
              <w:widowControl/>
              <w:adjustRightInd w:val="0"/>
              <w:snapToGrid w:val="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一、《单用途商业预付卡管理办法（试行）》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78" w:type="dxa"/>
            <w:vAlign w:val="center"/>
          </w:tcPr>
          <w:p>
            <w:pPr>
              <w:widowControl/>
              <w:adjustRightInd w:val="0"/>
              <w:snapToGrid w:val="0"/>
              <w:spacing w:line="64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w:t>
            </w:r>
          </w:p>
        </w:tc>
        <w:tc>
          <w:tcPr>
            <w:tcW w:w="455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对单用途商业预付卡发卡企业未按规定及时备案的违法行为</w:t>
            </w:r>
          </w:p>
        </w:tc>
        <w:tc>
          <w:tcPr>
            <w:tcW w:w="3015" w:type="dxa"/>
            <w:vMerge w:val="restart"/>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初次违法，危害后果轻微，责令限期改正后及时改正的</w:t>
            </w:r>
          </w:p>
          <w:p>
            <w:pPr>
              <w:widowControl/>
              <w:adjustRightInd w:val="0"/>
              <w:snapToGrid w:val="0"/>
              <w:jc w:val="left"/>
              <w:rPr>
                <w:rFonts w:hint="default" w:ascii="Times New Roman" w:hAnsi="Times New Roman" w:eastAsia="方正仿宋_GBK" w:cs="Times New Roman"/>
                <w:color w:val="000000"/>
                <w:sz w:val="28"/>
                <w:szCs w:val="28"/>
              </w:rPr>
            </w:pPr>
          </w:p>
        </w:tc>
        <w:tc>
          <w:tcPr>
            <w:tcW w:w="4085" w:type="dxa"/>
            <w:vAlign w:val="center"/>
          </w:tcPr>
          <w:p>
            <w:pPr>
              <w:widowControl/>
              <w:adjustRightInd w:val="0"/>
              <w:snapToGrid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《单用途商业预付卡管理办法（试行）》(2012年9月21日商务部令2012年第9号)第七条、第三十六条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778" w:type="dxa"/>
            <w:vAlign w:val="center"/>
          </w:tcPr>
          <w:p>
            <w:pPr>
              <w:widowControl/>
              <w:adjustRightInd w:val="0"/>
              <w:snapToGrid w:val="0"/>
              <w:spacing w:line="64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2</w:t>
            </w:r>
          </w:p>
        </w:tc>
        <w:tc>
          <w:tcPr>
            <w:tcW w:w="455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单用途商业预付卡发卡企业发行记名卡设有效期的；发行不记名卡有效期少于3年的。发卡企业或售卡企业对超过有效期尚有资金余额的不记名卡不提供激活、换卡等配套服务的</w:t>
            </w:r>
          </w:p>
        </w:tc>
        <w:tc>
          <w:tcPr>
            <w:tcW w:w="3015" w:type="dxa"/>
            <w:vMerge w:val="continue"/>
            <w:vAlign w:val="center"/>
          </w:tcPr>
          <w:p>
            <w:pPr>
              <w:widowControl/>
              <w:adjustRightInd w:val="0"/>
              <w:snapToGrid w:val="0"/>
              <w:jc w:val="left"/>
              <w:rPr>
                <w:rFonts w:hint="default" w:ascii="Times New Roman" w:hAnsi="Times New Roman" w:eastAsia="方正仿宋_GBK" w:cs="Times New Roman"/>
                <w:color w:val="000000"/>
                <w:sz w:val="28"/>
                <w:szCs w:val="28"/>
              </w:rPr>
            </w:pPr>
          </w:p>
        </w:tc>
        <w:tc>
          <w:tcPr>
            <w:tcW w:w="4085" w:type="dxa"/>
            <w:vAlign w:val="center"/>
          </w:tcPr>
          <w:p>
            <w:pPr>
              <w:widowControl/>
              <w:adjustRightInd w:val="0"/>
              <w:snapToGrid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《单用途商业预付卡管理办法（试行）》第三十七条</w:t>
            </w:r>
          </w:p>
          <w:p>
            <w:pPr>
              <w:widowControl/>
              <w:adjustRightInd w:val="0"/>
              <w:snapToGrid w:val="0"/>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2433" w:type="dxa"/>
            <w:gridSpan w:val="4"/>
            <w:vAlign w:val="center"/>
          </w:tcPr>
          <w:p>
            <w:pPr>
              <w:widowControl/>
              <w:adjustRightInd w:val="0"/>
              <w:snapToGrid w:val="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二、《汽车销售管理办法》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78" w:type="dxa"/>
            <w:vAlign w:val="center"/>
          </w:tcPr>
          <w:p>
            <w:pPr>
              <w:widowControl/>
              <w:adjustRightInd w:val="0"/>
              <w:snapToGrid w:val="0"/>
              <w:spacing w:line="64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w:t>
            </w:r>
          </w:p>
        </w:tc>
        <w:tc>
          <w:tcPr>
            <w:tcW w:w="4555" w:type="dxa"/>
            <w:vAlign w:val="center"/>
          </w:tcPr>
          <w:p>
            <w:pPr>
              <w:widowControl/>
              <w:adjustRightInd w:val="0"/>
              <w:snapToGrid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sz w:val="28"/>
                <w:szCs w:val="28"/>
              </w:rPr>
              <w:t>经销商没在经营场所以适当形式明示销售汽车、配件及其他相关产品的价格和各项服务收费标准，在标价之外加价销售或收取额外费用。</w:t>
            </w:r>
          </w:p>
        </w:tc>
        <w:tc>
          <w:tcPr>
            <w:tcW w:w="301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初次违法，危害后果轻微，责令限期改正后及时改正的</w:t>
            </w:r>
          </w:p>
          <w:p>
            <w:pPr>
              <w:widowControl/>
              <w:adjustRightInd w:val="0"/>
              <w:snapToGrid w:val="0"/>
              <w:jc w:val="left"/>
              <w:rPr>
                <w:rFonts w:hint="default" w:ascii="Times New Roman" w:hAnsi="Times New Roman" w:eastAsia="方正仿宋_GBK" w:cs="Times New Roman"/>
                <w:color w:val="000000"/>
                <w:sz w:val="28"/>
                <w:szCs w:val="28"/>
              </w:rPr>
            </w:pPr>
          </w:p>
        </w:tc>
        <w:tc>
          <w:tcPr>
            <w:tcW w:w="408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sz w:val="28"/>
                <w:szCs w:val="28"/>
              </w:rPr>
              <w:t>《汽车销售管理办法》第十条、第三十二条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78" w:type="dxa"/>
            <w:vAlign w:val="center"/>
          </w:tcPr>
          <w:p>
            <w:pPr>
              <w:widowControl/>
              <w:adjustRightInd w:val="0"/>
              <w:snapToGrid w:val="0"/>
              <w:spacing w:line="64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w:t>
            </w:r>
          </w:p>
        </w:tc>
        <w:tc>
          <w:tcPr>
            <w:tcW w:w="4555" w:type="dxa"/>
            <w:vAlign w:val="center"/>
          </w:tcPr>
          <w:p>
            <w:pPr>
              <w:widowControl/>
              <w:adjustRightInd w:val="0"/>
              <w:snapToGrid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sz w:val="28"/>
                <w:szCs w:val="28"/>
              </w:rPr>
              <w:t>经销商出售未经供应商授权销售的汽车，或者未经境外汽车生产企业授权销售的进口汽车，没有以书面形式向消费者作出提醒和说明，并书面告知向消费者承担相关责任的主体。</w:t>
            </w:r>
          </w:p>
        </w:tc>
        <w:tc>
          <w:tcPr>
            <w:tcW w:w="301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初次违法，危害后果轻微，责令限期改正后及时改正的</w:t>
            </w:r>
          </w:p>
          <w:p>
            <w:pPr>
              <w:widowControl/>
              <w:adjustRightInd w:val="0"/>
              <w:snapToGrid w:val="0"/>
              <w:jc w:val="left"/>
              <w:rPr>
                <w:rFonts w:hint="default" w:ascii="Times New Roman" w:hAnsi="Times New Roman" w:eastAsia="方正仿宋_GBK" w:cs="Times New Roman"/>
                <w:color w:val="000000"/>
                <w:sz w:val="28"/>
                <w:szCs w:val="28"/>
              </w:rPr>
            </w:pPr>
          </w:p>
        </w:tc>
        <w:tc>
          <w:tcPr>
            <w:tcW w:w="408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sz w:val="28"/>
                <w:szCs w:val="28"/>
              </w:rPr>
              <w:t>《汽车销售管理办法》第十二条、第三十二条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433" w:type="dxa"/>
            <w:gridSpan w:val="4"/>
            <w:vAlign w:val="center"/>
          </w:tcPr>
          <w:p>
            <w:pPr>
              <w:widowControl/>
              <w:adjustRightInd w:val="0"/>
              <w:snapToGrid w:val="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三、《美容美发业管理暂行办法》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78" w:type="dxa"/>
            <w:vAlign w:val="center"/>
          </w:tcPr>
          <w:p>
            <w:pPr>
              <w:widowControl/>
              <w:adjustRightInd w:val="0"/>
              <w:snapToGrid w:val="0"/>
              <w:spacing w:line="64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w:t>
            </w:r>
          </w:p>
        </w:tc>
        <w:tc>
          <w:tcPr>
            <w:tcW w:w="455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违反《美容美发业管理暂行办法》的美容美发经营者</w:t>
            </w:r>
          </w:p>
        </w:tc>
        <w:tc>
          <w:tcPr>
            <w:tcW w:w="301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初次违法，危害后果轻微，责令限期改正后及时改正的</w:t>
            </w:r>
          </w:p>
        </w:tc>
        <w:tc>
          <w:tcPr>
            <w:tcW w:w="408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《美容美发业管理暂行办法》（2004年商务部令第19号）第十八条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433" w:type="dxa"/>
            <w:gridSpan w:val="4"/>
            <w:vAlign w:val="center"/>
          </w:tcPr>
          <w:p>
            <w:pPr>
              <w:widowControl/>
              <w:adjustRightInd w:val="0"/>
              <w:snapToGrid w:val="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四、《洗染业管理办法》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78" w:type="dxa"/>
            <w:vAlign w:val="center"/>
          </w:tcPr>
          <w:p>
            <w:pPr>
              <w:widowControl/>
              <w:adjustRightInd w:val="0"/>
              <w:snapToGrid w:val="0"/>
              <w:spacing w:line="64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6</w:t>
            </w:r>
          </w:p>
        </w:tc>
        <w:tc>
          <w:tcPr>
            <w:tcW w:w="455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洗染业经营者违反《洗染业管理办法》规定</w:t>
            </w:r>
          </w:p>
        </w:tc>
        <w:tc>
          <w:tcPr>
            <w:tcW w:w="301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初次违法，危害后果轻微，没有违法所得，责令限期改正后及时改正的</w:t>
            </w:r>
          </w:p>
        </w:tc>
        <w:tc>
          <w:tcPr>
            <w:tcW w:w="408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《洗染业管理办法》（2007年商务部令第5号）第二十二条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433" w:type="dxa"/>
            <w:gridSpan w:val="4"/>
            <w:vAlign w:val="center"/>
          </w:tcPr>
          <w:p>
            <w:pPr>
              <w:widowControl/>
              <w:adjustRightInd w:val="0"/>
              <w:snapToGrid w:val="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五、《家庭服务业管理暂行办法》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78" w:type="dxa"/>
            <w:vAlign w:val="center"/>
          </w:tcPr>
          <w:p>
            <w:pPr>
              <w:widowControl/>
              <w:adjustRightInd w:val="0"/>
              <w:snapToGrid w:val="0"/>
              <w:spacing w:line="64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7</w:t>
            </w:r>
          </w:p>
        </w:tc>
        <w:tc>
          <w:tcPr>
            <w:tcW w:w="455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家庭服务机构未公开服务项目、收费标准和投诉监督电话</w:t>
            </w:r>
          </w:p>
        </w:tc>
        <w:tc>
          <w:tcPr>
            <w:tcW w:w="3015" w:type="dxa"/>
            <w:vMerge w:val="restart"/>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初次违法，危害后果轻微，责令限期改正后及时改正的</w:t>
            </w:r>
          </w:p>
          <w:p>
            <w:pPr>
              <w:widowControl/>
              <w:adjustRightInd w:val="0"/>
              <w:snapToGrid w:val="0"/>
              <w:jc w:val="left"/>
              <w:rPr>
                <w:rFonts w:hint="default" w:ascii="Times New Roman" w:hAnsi="Times New Roman" w:eastAsia="方正仿宋_GBK" w:cs="Times New Roman"/>
                <w:color w:val="000000"/>
                <w:sz w:val="28"/>
                <w:szCs w:val="28"/>
              </w:rPr>
            </w:pPr>
          </w:p>
          <w:p>
            <w:pPr>
              <w:widowControl/>
              <w:adjustRightInd w:val="0"/>
              <w:snapToGrid w:val="0"/>
              <w:jc w:val="left"/>
              <w:rPr>
                <w:rFonts w:hint="default" w:ascii="Times New Roman" w:hAnsi="Times New Roman" w:eastAsia="方正仿宋_GBK" w:cs="Times New Roman"/>
                <w:color w:val="000000"/>
                <w:sz w:val="28"/>
                <w:szCs w:val="28"/>
              </w:rPr>
            </w:pPr>
          </w:p>
          <w:p>
            <w:pPr>
              <w:widowControl/>
              <w:adjustRightInd w:val="0"/>
              <w:snapToGrid w:val="0"/>
              <w:jc w:val="left"/>
              <w:rPr>
                <w:rFonts w:hint="default" w:ascii="Times New Roman" w:hAnsi="Times New Roman" w:eastAsia="方正仿宋_GBK" w:cs="Times New Roman"/>
                <w:color w:val="000000"/>
                <w:sz w:val="28"/>
                <w:szCs w:val="28"/>
              </w:rPr>
            </w:pPr>
          </w:p>
          <w:p>
            <w:pPr>
              <w:widowControl/>
              <w:adjustRightInd w:val="0"/>
              <w:snapToGrid w:val="0"/>
              <w:jc w:val="left"/>
              <w:rPr>
                <w:rFonts w:hint="default" w:ascii="Times New Roman" w:hAnsi="Times New Roman" w:eastAsia="方正仿宋_GBK" w:cs="Times New Roman"/>
                <w:color w:val="000000"/>
                <w:sz w:val="28"/>
                <w:szCs w:val="28"/>
              </w:rPr>
            </w:pPr>
          </w:p>
        </w:tc>
        <w:tc>
          <w:tcPr>
            <w:tcW w:w="408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《家庭服务业管理暂行办法》（2012年商务部令第11号）第九条、</w:t>
            </w:r>
            <w:r>
              <w:rPr>
                <w:rFonts w:hint="default" w:ascii="Times New Roman" w:hAnsi="Times New Roman" w:eastAsia="方正仿宋_GBK" w:cs="Times New Roman"/>
                <w:color w:val="000000"/>
                <w:sz w:val="28"/>
                <w:szCs w:val="28"/>
              </w:rPr>
              <w:t>第三十二条</w:t>
            </w:r>
            <w:r>
              <w:rPr>
                <w:rFonts w:hint="default" w:ascii="Times New Roman" w:hAnsi="Times New Roman" w:eastAsia="方正仿宋_GBK" w:cs="Times New Roman"/>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78" w:type="dxa"/>
            <w:vAlign w:val="center"/>
          </w:tcPr>
          <w:p>
            <w:pPr>
              <w:widowControl/>
              <w:adjustRightInd w:val="0"/>
              <w:snapToGrid w:val="0"/>
              <w:spacing w:line="640" w:lineRule="exact"/>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8</w:t>
            </w:r>
          </w:p>
        </w:tc>
        <w:tc>
          <w:tcPr>
            <w:tcW w:w="455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家庭服务机构未按要求建立工作档案、跟踪管理制度，对消费者和家庭服务员之间的投诉不予妥善处理</w:t>
            </w:r>
          </w:p>
        </w:tc>
        <w:tc>
          <w:tcPr>
            <w:tcW w:w="3015" w:type="dxa"/>
            <w:vMerge w:val="continue"/>
            <w:vAlign w:val="center"/>
          </w:tcPr>
          <w:p>
            <w:pPr>
              <w:widowControl/>
              <w:adjustRightInd w:val="0"/>
              <w:snapToGrid w:val="0"/>
              <w:jc w:val="left"/>
              <w:rPr>
                <w:rFonts w:hint="default" w:ascii="Times New Roman" w:hAnsi="Times New Roman" w:eastAsia="方正仿宋_GBK" w:cs="Times New Roman"/>
                <w:color w:val="000000"/>
                <w:sz w:val="28"/>
                <w:szCs w:val="28"/>
              </w:rPr>
            </w:pPr>
          </w:p>
        </w:tc>
        <w:tc>
          <w:tcPr>
            <w:tcW w:w="408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《家庭服务业管理暂行办法》第十条、第三十三条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78" w:type="dxa"/>
            <w:vAlign w:val="center"/>
          </w:tcPr>
          <w:p>
            <w:pPr>
              <w:widowControl/>
              <w:adjustRightInd w:val="0"/>
              <w:snapToGrid w:val="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9</w:t>
            </w:r>
          </w:p>
        </w:tc>
        <w:tc>
          <w:tcPr>
            <w:tcW w:w="455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家庭服务机构未按要求提供信息</w:t>
            </w:r>
          </w:p>
        </w:tc>
        <w:tc>
          <w:tcPr>
            <w:tcW w:w="3015" w:type="dxa"/>
            <w:vMerge w:val="continue"/>
            <w:vAlign w:val="center"/>
          </w:tcPr>
          <w:p>
            <w:pPr>
              <w:widowControl/>
              <w:adjustRightInd w:val="0"/>
              <w:snapToGrid w:val="0"/>
              <w:jc w:val="left"/>
              <w:rPr>
                <w:rFonts w:hint="default" w:ascii="Times New Roman" w:hAnsi="Times New Roman" w:eastAsia="方正仿宋_GBK" w:cs="Times New Roman"/>
                <w:color w:val="000000"/>
                <w:sz w:val="28"/>
                <w:szCs w:val="28"/>
              </w:rPr>
            </w:pPr>
          </w:p>
        </w:tc>
        <w:tc>
          <w:tcPr>
            <w:tcW w:w="4085" w:type="dxa"/>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《家庭服务业管理暂行办法》第十一条、第二十六条、 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78" w:type="dxa"/>
            <w:vAlign w:val="center"/>
          </w:tcPr>
          <w:p>
            <w:pPr>
              <w:widowControl/>
              <w:adjustRightInd w:val="0"/>
              <w:snapToGrid w:val="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10</w:t>
            </w:r>
          </w:p>
        </w:tc>
        <w:tc>
          <w:tcPr>
            <w:tcW w:w="455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家庭服务机构存在《家庭服务业管理暂行办法》第十二条规定行为</w:t>
            </w:r>
          </w:p>
        </w:tc>
        <w:tc>
          <w:tcPr>
            <w:tcW w:w="3015" w:type="dxa"/>
            <w:vMerge w:val="continue"/>
            <w:vAlign w:val="center"/>
          </w:tcPr>
          <w:p>
            <w:pPr>
              <w:widowControl/>
              <w:adjustRightInd w:val="0"/>
              <w:snapToGrid w:val="0"/>
              <w:jc w:val="left"/>
              <w:rPr>
                <w:rFonts w:hint="default" w:ascii="Times New Roman" w:hAnsi="Times New Roman" w:eastAsia="方正仿宋_GBK" w:cs="Times New Roman"/>
                <w:color w:val="000000"/>
                <w:sz w:val="28"/>
                <w:szCs w:val="28"/>
              </w:rPr>
            </w:pPr>
          </w:p>
        </w:tc>
        <w:tc>
          <w:tcPr>
            <w:tcW w:w="4085" w:type="dxa"/>
            <w:vAlign w:val="center"/>
          </w:tcPr>
          <w:p>
            <w:pPr>
              <w:widowControl/>
              <w:adjustRightInd w:val="0"/>
              <w:snapToGrid w:val="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《家庭服务业管理暂行办法》（2012年商务部令第11号）第十二条、第三十五条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78" w:type="dxa"/>
            <w:vAlign w:val="center"/>
          </w:tcPr>
          <w:p>
            <w:pPr>
              <w:widowControl/>
              <w:adjustRightInd w:val="0"/>
              <w:snapToGrid w:val="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11</w:t>
            </w:r>
          </w:p>
        </w:tc>
        <w:tc>
          <w:tcPr>
            <w:tcW w:w="455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家庭服务机构未按要求订立家庭服务合同的，拒绝家庭服务员获取家庭服务合同</w:t>
            </w:r>
          </w:p>
        </w:tc>
        <w:tc>
          <w:tcPr>
            <w:tcW w:w="3015" w:type="dxa"/>
            <w:vMerge w:val="continue"/>
            <w:vAlign w:val="center"/>
          </w:tcPr>
          <w:p>
            <w:pPr>
              <w:widowControl/>
              <w:adjustRightInd w:val="0"/>
              <w:snapToGrid w:val="0"/>
              <w:jc w:val="left"/>
              <w:rPr>
                <w:rFonts w:hint="default" w:ascii="Times New Roman" w:hAnsi="Times New Roman" w:eastAsia="方正仿宋_GBK" w:cs="Times New Roman"/>
                <w:color w:val="000000"/>
                <w:sz w:val="28"/>
                <w:szCs w:val="28"/>
              </w:rPr>
            </w:pPr>
          </w:p>
        </w:tc>
        <w:tc>
          <w:tcPr>
            <w:tcW w:w="4085" w:type="dxa"/>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《家庭服务业管理暂行办法》第十三条、 第十四条、第十五条、第三十六条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433" w:type="dxa"/>
            <w:gridSpan w:val="4"/>
            <w:vAlign w:val="center"/>
          </w:tcPr>
          <w:p>
            <w:pPr>
              <w:widowControl/>
              <w:adjustRightInd w:val="0"/>
              <w:snapToGrid w:val="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六、《旧电器电子产品流通管理办法》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78" w:type="dxa"/>
            <w:vAlign w:val="center"/>
          </w:tcPr>
          <w:p>
            <w:pPr>
              <w:widowControl/>
              <w:adjustRightInd w:val="0"/>
              <w:snapToGrid w:val="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12</w:t>
            </w:r>
          </w:p>
        </w:tc>
        <w:tc>
          <w:tcPr>
            <w:tcW w:w="455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旧电器电子产品经营者（市场）未履行登记义务、未建立档案资料</w:t>
            </w:r>
          </w:p>
        </w:tc>
        <w:tc>
          <w:tcPr>
            <w:tcW w:w="301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初次违法，危害后果轻微，责令限期改正后及时改正的</w:t>
            </w:r>
          </w:p>
        </w:tc>
        <w:tc>
          <w:tcPr>
            <w:tcW w:w="4085" w:type="dxa"/>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《旧电器电子产品流通管理办法》（ 2013年商务部令第1号）第七条、第八条、第十五条、第十九条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433" w:type="dxa"/>
            <w:gridSpan w:val="4"/>
            <w:vAlign w:val="center"/>
          </w:tcPr>
          <w:p>
            <w:pPr>
              <w:widowControl/>
              <w:adjustRightInd w:val="0"/>
              <w:snapToGrid w:val="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bCs/>
                <w:color w:val="000000"/>
                <w:sz w:val="28"/>
                <w:szCs w:val="28"/>
              </w:rPr>
              <w:t>七、《外商投资信息报告办法》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778" w:type="dxa"/>
            <w:vAlign w:val="center"/>
          </w:tcPr>
          <w:p>
            <w:pPr>
              <w:widowControl/>
              <w:adjustRightInd w:val="0"/>
              <w:snapToGrid w:val="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13</w:t>
            </w:r>
          </w:p>
        </w:tc>
        <w:tc>
          <w:tcPr>
            <w:tcW w:w="455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外国投资者、外商投资企业违反规定，未按照外商投资信息报告制度的要求报送投资信息的</w:t>
            </w:r>
          </w:p>
        </w:tc>
        <w:tc>
          <w:tcPr>
            <w:tcW w:w="3015" w:type="dxa"/>
            <w:vAlign w:val="center"/>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初次违法，危害后果轻微，责令限期改正后及时改正的</w:t>
            </w:r>
          </w:p>
        </w:tc>
        <w:tc>
          <w:tcPr>
            <w:tcW w:w="4085" w:type="dxa"/>
          </w:tcPr>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1、《中华人民共和国外商投资法》（2019年3月15日第十三届全国人民代表大会第二次会议通过）第三十七条                                       </w:t>
            </w:r>
          </w:p>
          <w:p>
            <w:pPr>
              <w:widowControl/>
              <w:adjustRightInd w:val="0"/>
              <w:snapToGrid w:val="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2、《外商投资信息报告办法》（商务部 国家市场监督管理总局令2019年第2号）第二十五条 </w:t>
            </w:r>
          </w:p>
        </w:tc>
      </w:tr>
    </w:tbl>
    <w:p>
      <w:pPr>
        <w:widowControl/>
        <w:adjustRightInd w:val="0"/>
        <w:snapToGrid w:val="0"/>
        <w:jc w:val="left"/>
        <w:rPr>
          <w:rFonts w:hint="default" w:ascii="Times New Roman" w:hAnsi="Times New Roman" w:eastAsia="楷体" w:cs="Times New Roman"/>
          <w:color w:val="000000"/>
          <w:sz w:val="21"/>
          <w:szCs w:val="21"/>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bookmarkStart w:id="0" w:name="_GoBack"/>
      <w:bookmarkEnd w:id="0"/>
    </w:p>
    <w:sectPr>
      <w:footerReference r:id="rId3" w:type="default"/>
      <w:pgSz w:w="16838" w:h="11906" w:orient="landscape"/>
      <w:pgMar w:top="1587" w:right="2098" w:bottom="1474" w:left="1984" w:header="851" w:footer="992" w:gutter="0"/>
      <w:cols w:space="720" w:num="1"/>
      <w:docGrid w:type="linesAndChars" w:linePitch="442"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zSVju0AAAAAUBAAAPAAAAAAAAAAEAIAAAADgAAABkcnMv&#10;ZG93bnJldi54bWxQSwECFAAUAAAACACHTuJAO70Z8bwBAABbAwAADgAAAAAAAAABACAAAAA1AQAA&#10;ZHJzL2Uyb0RvYy54bWxQSwUGAAAAAAYABgBZAQAAYwUAAAAA&#10;">
          <v:path/>
          <v:fill on="f" focussize="0,0"/>
          <v:stroke on="f" weight="0.5pt" joinstyle="miter"/>
          <v:imagedata o:title=""/>
          <o:lock v:ext="edit"/>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w:r>
  </w:p>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439D8"/>
    <w:rsid w:val="00045621"/>
    <w:rsid w:val="003B6914"/>
    <w:rsid w:val="00453C5E"/>
    <w:rsid w:val="004E1F79"/>
    <w:rsid w:val="00514837"/>
    <w:rsid w:val="005439D8"/>
    <w:rsid w:val="00551E9F"/>
    <w:rsid w:val="007D0109"/>
    <w:rsid w:val="009C505F"/>
    <w:rsid w:val="00AE11FD"/>
    <w:rsid w:val="00B46A6B"/>
    <w:rsid w:val="00CB2383"/>
    <w:rsid w:val="00ED55B5"/>
    <w:rsid w:val="00F15065"/>
    <w:rsid w:val="3F810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99"/>
    <w:pPr>
      <w:tabs>
        <w:tab w:val="center" w:pos="4153"/>
        <w:tab w:val="right" w:pos="8306"/>
      </w:tabs>
      <w:snapToGrid w:val="0"/>
      <w:jc w:val="left"/>
    </w:pPr>
    <w:rPr>
      <w:sz w:val="18"/>
    </w:rPr>
  </w:style>
  <w:style w:type="character" w:customStyle="1" w:styleId="5">
    <w:name w:val="页脚 Char"/>
    <w:basedOn w:val="4"/>
    <w:link w:val="2"/>
    <w:uiPriority w:val="99"/>
    <w:rPr>
      <w:rFonts w:ascii="Calibri" w:hAnsi="Calibri" w:eastAsia="宋体" w:cs="Times New Roman"/>
      <w:sz w:val="1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222</Words>
  <Characters>1270</Characters>
  <Lines>10</Lines>
  <Paragraphs>2</Paragraphs>
  <TotalTime>16</TotalTime>
  <ScaleCrop>false</ScaleCrop>
  <LinksUpToDate>false</LinksUpToDate>
  <CharactersWithSpaces>1490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2023-02-19T12:40:00Z</dcterms:created>
  <dc:creator>Administrator</dc:creator>
  <cp:lastModifiedBy>Administrator</cp:lastModifiedBy>
  <cp:lastPrinted>2023-02-19T12:57:00Z</cp:lastPrinted>
  <dcterms:modified xsi:type="dcterms:W3CDTF">2023-02-20T08:58:23Z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210B4F4074164F619EE0A0316E284508</vt:lpwstr>
  </property>
</Properties>
</file>