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重庆市梁平区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水利高质量发展三年行动实施方案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（</w:t>
      </w:r>
      <w:r>
        <w:rPr>
          <w:rFonts w:hint="eastAsia" w:eastAsia="方正小标宋_GBK" w:cs="Times New Roman"/>
          <w:sz w:val="32"/>
          <w:szCs w:val="32"/>
          <w:lang w:eastAsia="zh-CN"/>
        </w:rPr>
        <w:t>征求意见稿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32"/>
          <w:szCs w:val="32"/>
        </w:rPr>
        <w:t>）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为全面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贯彻落实习近平总书记“节水优先、空间均衡、系统治理、两手发力”治水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思路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，精准对接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“十四五”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项目规划，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水网建设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为核心，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以项目建设为抓手，补短板、强弱项，抓监督、强管理，抓机遇、促改革，开拓创新，多措并举，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统筹解决我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工程性、季节性缺水问题，加快推进全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水利高质量发展，结合我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实际，特制定本方案。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总体</w:t>
      </w:r>
      <w:r>
        <w:rPr>
          <w:rFonts w:hint="eastAsia" w:eastAsia="方正黑体_GBK"/>
          <w:sz w:val="32"/>
          <w:szCs w:val="32"/>
          <w:lang w:eastAsia="zh-CN"/>
        </w:rPr>
        <w:t>要求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以习近平新时代中国特色社会主义思想为指导，全面贯彻党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的二十大和二十届二中全会等精神，认真落实市第六次党代会、市委六届二次全会部署，立足新发展阶段，完整、准确、全面贯彻新发展理念，积极服务和融入新发展格局，按照“节水优先、空间均衡、系统治理、两手发力”治水思路和“确有需要、生态安全、可以持续”原则，坚持“五水统筹”，实施重庆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梁平区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水利高质量发展三年行动（以下简称三年行动），推动新阶段水利高质量发展，解决发展中不平衡不充分的问题，提升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梁平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水安全保障能力。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发展目标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2023—2025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年，全区规划水利项目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个以上，规划总投资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42.62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21.56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年，全区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级以上堤防达标率提高到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95%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，防汛抗旱指挥体系趋于完善，初步建立覆盖全区水文巡测及监测体系，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新增蓄水能力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农村自来水普及率不低于9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%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CN" w:eastAsia="zh-CN"/>
        </w:rPr>
        <w:t>农田灌溉水有效利用系数提高到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097，重点河湖基本生态流量达标率不低于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90%，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水土保持率达到72%以上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，水价动态调整机制初步建立，全区城乡防洪能力稳步提升、供水保障能力明显增强、生态保障能力显著提高。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重点任务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加快构建系统完善的防洪减灾体系。</w:t>
      </w:r>
      <w:r>
        <w:rPr>
          <w:sz w:val="32"/>
          <w:szCs w:val="32"/>
        </w:rPr>
        <w:t>加快重点防洪护岸综合治理工程建设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实施中小河流综合治理103公里，清淤疏浚、岸坡整治、数字化河道建设和防汛通道，</w:t>
      </w:r>
      <w:r>
        <w:rPr>
          <w:sz w:val="32"/>
          <w:szCs w:val="32"/>
        </w:rPr>
        <w:t>提高城乡防洪标准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sz w:val="32"/>
          <w:szCs w:val="32"/>
        </w:rPr>
        <w:t>着力解决城乡防洪薄弱环节，</w:t>
      </w:r>
      <w:r>
        <w:rPr>
          <w:rFonts w:hint="eastAsia"/>
          <w:sz w:val="32"/>
          <w:szCs w:val="32"/>
          <w:lang w:eastAsia="zh-CN"/>
        </w:rPr>
        <w:t>分步推进重点山洪沟治理，</w:t>
      </w:r>
      <w:r>
        <w:rPr>
          <w:rFonts w:ascii="Times New Roman" w:hAnsi="Times New Roman"/>
          <w:sz w:val="32"/>
          <w:szCs w:val="32"/>
        </w:rPr>
        <w:t>强化山洪灾害监测预警能力建设，完善山洪灾害防御责任制和群测群防体系。</w:t>
      </w:r>
      <w:r>
        <w:rPr>
          <w:rFonts w:hint="eastAsia" w:ascii="Times New Roman" w:hAnsi="Times New Roman"/>
          <w:sz w:val="32"/>
          <w:szCs w:val="32"/>
          <w:lang w:eastAsia="zh-CN"/>
        </w:rPr>
        <w:t>落实防洪非工程措施，</w:t>
      </w:r>
      <w:r>
        <w:rPr>
          <w:rFonts w:hint="eastAsia"/>
          <w:sz w:val="32"/>
          <w:szCs w:val="32"/>
          <w:lang w:eastAsia="zh-CN"/>
        </w:rPr>
        <w:t>强化</w:t>
      </w:r>
      <w:r>
        <w:rPr>
          <w:sz w:val="32"/>
          <w:szCs w:val="32"/>
        </w:rPr>
        <w:t>水库群联合调度</w:t>
      </w:r>
      <w:r>
        <w:rPr>
          <w:rFonts w:hint="eastAsia"/>
          <w:sz w:val="32"/>
          <w:szCs w:val="32"/>
          <w:lang w:eastAsia="zh-CN"/>
        </w:rPr>
        <w:t>，推进水库雨情监测设施和水利防灾物资</w:t>
      </w:r>
      <w:r>
        <w:rPr>
          <w:sz w:val="32"/>
          <w:szCs w:val="32"/>
        </w:rPr>
        <w:t>储备新机制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highlight w:val="none"/>
          <w:lang w:val="en-US" w:eastAsia="zh-CN"/>
        </w:rPr>
        <w:t>2023-2025年，</w:t>
      </w:r>
      <w:r>
        <w:rPr>
          <w:rFonts w:hint="eastAsia"/>
          <w:sz w:val="32"/>
          <w:szCs w:val="32"/>
          <w:lang w:val="en-US" w:eastAsia="zh-CN"/>
        </w:rPr>
        <w:t>全区拟实施防洪减灾工程项目5个，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规划总投资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8.48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5.33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（二）构建集约高效的水资源配置体系。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加快推进龙象寺、七里沟等骨干水源和朝阳、新胜、河源、拱桥、滴水岩等5座水库互联互通工程建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设，全面启动渝东北一体化水资源配置工程和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水井湾水库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前期工作，力争开工建设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银河桥水库，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新增蓄水能力</w:t>
      </w:r>
      <w:r>
        <w:rPr>
          <w:rFonts w:hint="eastAsia" w:cs="Times New Roman"/>
          <w:sz w:val="32"/>
          <w:szCs w:val="32"/>
          <w:lang w:val="en-US" w:eastAsia="zh-CN"/>
        </w:rPr>
        <w:t>4764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万m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城乡一体化供水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工程和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农村供水保障工程，推动水源联网工程和管网延伸（改造）工程建设，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整治饮用水水源、村级水厂提档升级、管网延伸、信息化改造等。202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年，全区拟实施水资源配置工程项目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规划总投资</w:t>
      </w:r>
      <w:r>
        <w:rPr>
          <w:rFonts w:hint="eastAsia" w:cs="Times New Roman"/>
          <w:sz w:val="32"/>
          <w:szCs w:val="32"/>
          <w:lang w:val="en-US" w:eastAsia="zh-CN"/>
        </w:rPr>
        <w:t>30.27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cs="Times New Roman"/>
          <w:sz w:val="32"/>
          <w:szCs w:val="32"/>
          <w:lang w:val="en-US" w:eastAsia="zh-CN"/>
        </w:rPr>
        <w:t>12.96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（三）构建保障有力的民生水利体系。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推进农村水网建设，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实施“联网、补网、强链”重点项目，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统筹存量与增</w:t>
      </w:r>
      <w:r>
        <w:rPr>
          <w:lang w:val="zh-CN"/>
        </w:rPr>
        <w:t>量</w:t>
      </w:r>
      <w:r>
        <w:rPr>
          <w:rFonts w:hint="eastAsia"/>
          <w:lang w:val="zh-CN"/>
        </w:rPr>
        <w:t>，</w:t>
      </w:r>
      <w:r>
        <w:rPr>
          <w:rFonts w:hint="eastAsia"/>
        </w:rPr>
        <w:t>强化农村水网互联互通，</w:t>
      </w:r>
      <w:r>
        <w:t>打造</w:t>
      </w:r>
      <w:r>
        <w:rPr>
          <w:rFonts w:hint="eastAsia"/>
        </w:rPr>
        <w:t>“两库两纵两横”</w:t>
      </w:r>
      <w:r>
        <w:t>农村水网总体布局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建成与现代化国家相适应的现代化农村水网。</w:t>
      </w:r>
      <w:r>
        <w:rPr>
          <w:rFonts w:hint="eastAsia"/>
          <w:lang w:eastAsia="zh-CN"/>
        </w:rPr>
        <w:t>加快灌区建设与节水改造，</w:t>
      </w:r>
      <w:r>
        <w:rPr>
          <w:rFonts w:hint="eastAsia" w:ascii="Times New Roman" w:hAnsi="Times New Roman"/>
          <w:sz w:val="32"/>
          <w:szCs w:val="32"/>
          <w:lang w:eastAsia="zh-CN"/>
        </w:rPr>
        <w:t>实施盐井口水库中型、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梁平中型灌区续建配套与节水改造项目，新建管网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渠道</w:t>
      </w:r>
      <w:r>
        <w:rPr>
          <w:rFonts w:ascii="Times New Roman" w:hAnsi="Times New Roman"/>
          <w:sz w:val="32"/>
          <w:szCs w:val="32"/>
        </w:rPr>
        <w:t>配套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及</w:t>
      </w:r>
      <w:r>
        <w:rPr>
          <w:rFonts w:ascii="Times New Roman" w:hAnsi="Times New Roman"/>
          <w:sz w:val="32"/>
          <w:szCs w:val="32"/>
        </w:rPr>
        <w:t>量、测水设施配套，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新建灌区信息化系统</w:t>
      </w:r>
      <w:r>
        <w:rPr>
          <w:rFonts w:ascii="Times New Roman" w:hAnsi="Times New Roman"/>
          <w:sz w:val="32"/>
          <w:szCs w:val="32"/>
        </w:rPr>
        <w:t>提高灌溉供水保障率，增强农业生产能力，保障粮食安全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。持续推进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三峡后续扶持和</w:t>
      </w:r>
      <w:r>
        <w:rPr>
          <w:rFonts w:hint="eastAsia" w:ascii="Times New Roman" w:hAnsi="Times New Roman"/>
          <w:lang w:val="en-US" w:eastAsia="zh-CN"/>
        </w:rPr>
        <w:t>水利移民后期扶持，主</w:t>
      </w:r>
      <w:r>
        <w:rPr>
          <w:sz w:val="32"/>
          <w:szCs w:val="32"/>
        </w:rPr>
        <w:t>要围绕新建水利基础设施建设、移民美丽家园人居环境整治工程建设、农村产业转型升级项目、散居移民农村道路</w:t>
      </w:r>
      <w:r>
        <w:rPr>
          <w:rFonts w:hint="eastAsia"/>
          <w:sz w:val="32"/>
          <w:szCs w:val="32"/>
          <w:lang w:eastAsia="zh-CN"/>
        </w:rPr>
        <w:t>等</w:t>
      </w:r>
      <w:r>
        <w:rPr>
          <w:sz w:val="32"/>
          <w:szCs w:val="32"/>
        </w:rPr>
        <w:t>基础设施建设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-202</w:t>
      </w:r>
      <w:r>
        <w:rPr>
          <w:rFonts w:hint="eastAsi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年，全区</w:t>
      </w:r>
      <w:r>
        <w:rPr>
          <w:rFonts w:hint="eastAsia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实施民生水利项目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个，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规划总投资</w:t>
      </w:r>
      <w:r>
        <w:rPr>
          <w:rFonts w:hint="eastAsia"/>
          <w:sz w:val="32"/>
          <w:szCs w:val="32"/>
          <w:highlight w:val="none"/>
          <w:lang w:val="en-US" w:eastAsia="zh-CN"/>
        </w:rPr>
        <w:t>2.87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（四）构建健康持续和河湖生态体系。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推进水源涵养与水生态修复，实施集中饮用水源地水资源涵养与水生态修复工程。推动梁平区铜钵河、七星河、文化河生态修复工程，建设人工湿地16000 m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，尾水湿地2000 m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，砾间湿地7400 m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，生态护岸1600m，生态岸线6000m，提升泵站1座，生态隔离带10000m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。2023-2025年，全区实施水生态治理项目2个，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规划总投资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0.66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0.56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（五）构建智慧畅通的新型基础设施体系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。加快水利数字化变革，推进数字孪生流域建设。开展水文现代化建设，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zh-CN" w:eastAsia="zh-CN" w:bidi="ar-SA"/>
        </w:rPr>
        <w:t>提升信息化水平，对水文测站、水库大坝、农村供水保障工程、农村水电站等监测设施进行智慧化升级改造，有效提升险情识别、风险诊断、安全运行、应急处置能力。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2023-2025年，全区实施新型基础设施项目2个，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规划总投资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0.34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亿元，拟完成投资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0.25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黑体_GBK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宋体"/>
          <w:sz w:val="32"/>
          <w:szCs w:val="32"/>
          <w:lang w:val="en-US" w:eastAsia="zh-CN"/>
        </w:rPr>
        <w:t>保障措施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强化建设资金保障。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千方百计争取中央、市级资金支持，严格落实中央预算内、水利发展、三峡后续、移民后扶等资金管理办法，加快市及以上资金使用进度。按照专项债券申报要求，强化项目谋划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申请。</w:t>
      </w:r>
      <w:r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32"/>
          <w:lang w:val="zh-CN" w:eastAsia="zh-CN" w:bidi="ar-SA"/>
        </w:rPr>
        <w:t>按照“应收尽收、足额征收”的原则，加大水利规费征收力度。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（二）深化水利投融资改革。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进一步深化“政银企社” 合作对接机制，做好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做实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与中国农业发展银行、中国农业银行、重庆农村商业银行等金融机构合作，破解水利项目融资难题。</w:t>
      </w:r>
      <w:r>
        <w:rPr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lang w:val="en-US" w:eastAsia="zh-CN" w:bidi="ar-SA"/>
        </w:rPr>
        <w:t>将非经营性水利工程维修养护及管理经费纳入财政预算。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（三）强化项目要素保障。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坚持要素跟着项目走，在人、财、物上对纳入三年行动重点任务的项目予以优先保障。加强三年行动重点项目与国土空间规划衔接。统筹保障水利建设用地用林指标供给，加大规划许可等方面支持力度。对纳入国家重大项目清单的水利项目用地，以及纳入市级重大项目清单的单独选址水利项目用地，按规定使用国家指标予以保障，推动项目尽快落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"/>
        </w:rPr>
        <w:t>（四）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用好考核指挥棒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。做好市级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水网建设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河长制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督查激励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及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最严格水资源管理制度考核工作，配合区级有关部门做好乡村振兴、城市提升等涉及水利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指标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的考核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，积极争取市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及以上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政策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倾斜支持。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 w:bidi="ar"/>
        </w:rPr>
        <w:t>（五）强化建设运行管理。</w:t>
      </w:r>
      <w:r>
        <w:rPr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lang w:val="en-US" w:eastAsia="zh-CN" w:bidi="ar-SA"/>
        </w:rPr>
        <w:t>加强水利工程项目储备和前期工作，保障前期工作经费，着力提高前期工作质量。规范项目法人组建，强化对项目法人的监督管理。强化建设管理，严把水利工程质量关，保障工程建设进度，确保尽早建成并发挥效益。落实水利工程属地属事分级管理责任，在项目竣工验收后明确管护主体和责任，落实管护人员、经费及保障措施，实施专业化、标准化管理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lang w:val="en-US" w:eastAsia="zh-CN" w:bidi="ar"/>
        </w:rPr>
        <w:t>（六）加强组织领导工作。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eastAsia="zh-CN"/>
        </w:rPr>
        <w:t>设立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水利高质量发展三年行动工作专班，负责统筹推进相关工作，区水利局会同工作专班各成员单位组织做好本方案的总体推进，有关单位要各司其职、协同配合，定期研究推进，形成工作合力。对责任不落实、工作不到位的单位，由区政府进行约谈；对约谈后整改仍不到位的单位，造成严重后果的单位和个人，将严肃追责问责；同时，对工作表现突出的单位和个人，按规定给予表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theme="minorBidi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584FD"/>
    <w:multiLevelType w:val="singleLevel"/>
    <w:tmpl w:val="901584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1FE0D3"/>
    <w:multiLevelType w:val="singleLevel"/>
    <w:tmpl w:val="E51FE0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5788F4C"/>
    <w:multiLevelType w:val="singleLevel"/>
    <w:tmpl w:val="F5788F4C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  <w:sz w:val="32"/>
        <w:szCs w:val="32"/>
      </w:rPr>
    </w:lvl>
  </w:abstractNum>
  <w:abstractNum w:abstractNumId="3">
    <w:nsid w:val="388A3BDF"/>
    <w:multiLevelType w:val="multilevel"/>
    <w:tmpl w:val="388A3BDF"/>
    <w:lvl w:ilvl="0" w:tentative="0">
      <w:start w:val="1"/>
      <w:numFmt w:val="decimal"/>
      <w:pStyle w:val="16"/>
      <w:lvlText w:val="第%1章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284"/>
        </w:tabs>
        <w:ind w:left="284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527CD"/>
    <w:rsid w:val="00723BC9"/>
    <w:rsid w:val="01001E15"/>
    <w:rsid w:val="01B7120C"/>
    <w:rsid w:val="02543D5F"/>
    <w:rsid w:val="03A23ABB"/>
    <w:rsid w:val="040A252F"/>
    <w:rsid w:val="0448202E"/>
    <w:rsid w:val="04521626"/>
    <w:rsid w:val="04C256F2"/>
    <w:rsid w:val="051622C4"/>
    <w:rsid w:val="064268D3"/>
    <w:rsid w:val="074069C5"/>
    <w:rsid w:val="07C22247"/>
    <w:rsid w:val="07DC53E1"/>
    <w:rsid w:val="08506633"/>
    <w:rsid w:val="085C183B"/>
    <w:rsid w:val="086343A2"/>
    <w:rsid w:val="08B66C9D"/>
    <w:rsid w:val="08F532BA"/>
    <w:rsid w:val="0A9704D1"/>
    <w:rsid w:val="0C837A6D"/>
    <w:rsid w:val="0C886C9D"/>
    <w:rsid w:val="0D0365E6"/>
    <w:rsid w:val="0D7B2DAD"/>
    <w:rsid w:val="0D9A54CA"/>
    <w:rsid w:val="0E251B82"/>
    <w:rsid w:val="0E534162"/>
    <w:rsid w:val="0EC82A4F"/>
    <w:rsid w:val="0EE05EF8"/>
    <w:rsid w:val="0F1550CD"/>
    <w:rsid w:val="0FB64C56"/>
    <w:rsid w:val="101D58FF"/>
    <w:rsid w:val="1048152A"/>
    <w:rsid w:val="104D08F2"/>
    <w:rsid w:val="10CF4AB2"/>
    <w:rsid w:val="115455FC"/>
    <w:rsid w:val="119C6408"/>
    <w:rsid w:val="121B53C5"/>
    <w:rsid w:val="12E23B09"/>
    <w:rsid w:val="13740E79"/>
    <w:rsid w:val="13C4667A"/>
    <w:rsid w:val="13E153D8"/>
    <w:rsid w:val="14522A66"/>
    <w:rsid w:val="14FF2B7F"/>
    <w:rsid w:val="15246AA6"/>
    <w:rsid w:val="16830274"/>
    <w:rsid w:val="1696199B"/>
    <w:rsid w:val="16A21031"/>
    <w:rsid w:val="17FD7DBD"/>
    <w:rsid w:val="18232427"/>
    <w:rsid w:val="183338EC"/>
    <w:rsid w:val="18377CF0"/>
    <w:rsid w:val="19294ED7"/>
    <w:rsid w:val="193227AD"/>
    <w:rsid w:val="19651B39"/>
    <w:rsid w:val="19A20274"/>
    <w:rsid w:val="1A1E3E74"/>
    <w:rsid w:val="1A2566F4"/>
    <w:rsid w:val="1B46204F"/>
    <w:rsid w:val="1BE1664A"/>
    <w:rsid w:val="1C477673"/>
    <w:rsid w:val="1CC96948"/>
    <w:rsid w:val="1D1527CD"/>
    <w:rsid w:val="1D706F0D"/>
    <w:rsid w:val="1E461337"/>
    <w:rsid w:val="1F3968C2"/>
    <w:rsid w:val="1F79042F"/>
    <w:rsid w:val="1FBC5A21"/>
    <w:rsid w:val="1FE0068C"/>
    <w:rsid w:val="2025634A"/>
    <w:rsid w:val="21500D8C"/>
    <w:rsid w:val="22C71335"/>
    <w:rsid w:val="22E51D82"/>
    <w:rsid w:val="239E1F56"/>
    <w:rsid w:val="24C578AF"/>
    <w:rsid w:val="24D87982"/>
    <w:rsid w:val="25AB1D5F"/>
    <w:rsid w:val="25E528AC"/>
    <w:rsid w:val="267D7CB3"/>
    <w:rsid w:val="26C1193A"/>
    <w:rsid w:val="270E3D1E"/>
    <w:rsid w:val="271A0E36"/>
    <w:rsid w:val="27511310"/>
    <w:rsid w:val="277620B3"/>
    <w:rsid w:val="277C1DD4"/>
    <w:rsid w:val="28372122"/>
    <w:rsid w:val="28892920"/>
    <w:rsid w:val="29283114"/>
    <w:rsid w:val="29BF6701"/>
    <w:rsid w:val="29C71D19"/>
    <w:rsid w:val="29F205DF"/>
    <w:rsid w:val="2A9B39AD"/>
    <w:rsid w:val="2AEE7B7C"/>
    <w:rsid w:val="2B691F0B"/>
    <w:rsid w:val="2B9F7EDF"/>
    <w:rsid w:val="2BAF48D4"/>
    <w:rsid w:val="2C0B66D0"/>
    <w:rsid w:val="2C1E78EF"/>
    <w:rsid w:val="2C3A0A75"/>
    <w:rsid w:val="2C573271"/>
    <w:rsid w:val="2CED1241"/>
    <w:rsid w:val="2FCA6176"/>
    <w:rsid w:val="2FD31004"/>
    <w:rsid w:val="30242634"/>
    <w:rsid w:val="30600944"/>
    <w:rsid w:val="31861927"/>
    <w:rsid w:val="35ED2507"/>
    <w:rsid w:val="363122F8"/>
    <w:rsid w:val="367D10F2"/>
    <w:rsid w:val="3736578D"/>
    <w:rsid w:val="37761879"/>
    <w:rsid w:val="37DA6E30"/>
    <w:rsid w:val="38037FF5"/>
    <w:rsid w:val="38463F61"/>
    <w:rsid w:val="387717A7"/>
    <w:rsid w:val="389912BB"/>
    <w:rsid w:val="38A70977"/>
    <w:rsid w:val="38C05E29"/>
    <w:rsid w:val="38E350E4"/>
    <w:rsid w:val="39A305DB"/>
    <w:rsid w:val="39AA2399"/>
    <w:rsid w:val="3A7A664F"/>
    <w:rsid w:val="3AE57D2D"/>
    <w:rsid w:val="3B713194"/>
    <w:rsid w:val="3BC95DA1"/>
    <w:rsid w:val="3C5A64EE"/>
    <w:rsid w:val="3CD24055"/>
    <w:rsid w:val="3CFC6929"/>
    <w:rsid w:val="3D7462A4"/>
    <w:rsid w:val="3DAC1FE6"/>
    <w:rsid w:val="3E235F81"/>
    <w:rsid w:val="3E931AB8"/>
    <w:rsid w:val="3F46155B"/>
    <w:rsid w:val="3F6E2720"/>
    <w:rsid w:val="3F8D5553"/>
    <w:rsid w:val="3FAF44EE"/>
    <w:rsid w:val="40250BC9"/>
    <w:rsid w:val="40396BF8"/>
    <w:rsid w:val="41317D4C"/>
    <w:rsid w:val="413D3C14"/>
    <w:rsid w:val="42175035"/>
    <w:rsid w:val="42177FD3"/>
    <w:rsid w:val="42B4772B"/>
    <w:rsid w:val="42D0402B"/>
    <w:rsid w:val="43C97100"/>
    <w:rsid w:val="44150E3F"/>
    <w:rsid w:val="443800FA"/>
    <w:rsid w:val="451F03F8"/>
    <w:rsid w:val="45871EA8"/>
    <w:rsid w:val="45FF3808"/>
    <w:rsid w:val="46295027"/>
    <w:rsid w:val="47031EC9"/>
    <w:rsid w:val="475745B1"/>
    <w:rsid w:val="476B4739"/>
    <w:rsid w:val="479A5288"/>
    <w:rsid w:val="479B7487"/>
    <w:rsid w:val="488B51AA"/>
    <w:rsid w:val="48955120"/>
    <w:rsid w:val="48AB1CB6"/>
    <w:rsid w:val="48E97B06"/>
    <w:rsid w:val="4B4F1A99"/>
    <w:rsid w:val="4C0628C9"/>
    <w:rsid w:val="4C226976"/>
    <w:rsid w:val="4CBA495B"/>
    <w:rsid w:val="4CCD4891"/>
    <w:rsid w:val="4DCE1EB5"/>
    <w:rsid w:val="4F2220AE"/>
    <w:rsid w:val="4F46621E"/>
    <w:rsid w:val="50BE2BE2"/>
    <w:rsid w:val="515D5589"/>
    <w:rsid w:val="519028E0"/>
    <w:rsid w:val="519A16F9"/>
    <w:rsid w:val="523572F1"/>
    <w:rsid w:val="53A53C8D"/>
    <w:rsid w:val="53E030A9"/>
    <w:rsid w:val="54055868"/>
    <w:rsid w:val="54311BAF"/>
    <w:rsid w:val="54945EC9"/>
    <w:rsid w:val="54E11BB8"/>
    <w:rsid w:val="54F70673"/>
    <w:rsid w:val="55E737FF"/>
    <w:rsid w:val="56341613"/>
    <w:rsid w:val="56E83021"/>
    <w:rsid w:val="56F15EAF"/>
    <w:rsid w:val="5733219C"/>
    <w:rsid w:val="57CF3BD3"/>
    <w:rsid w:val="58110FE9"/>
    <w:rsid w:val="58E31EE2"/>
    <w:rsid w:val="5A2B2F5B"/>
    <w:rsid w:val="5B795502"/>
    <w:rsid w:val="5BFB0E00"/>
    <w:rsid w:val="5C4D4E30"/>
    <w:rsid w:val="5C9A677B"/>
    <w:rsid w:val="5D4B0B1D"/>
    <w:rsid w:val="5D9E0F01"/>
    <w:rsid w:val="5E82661B"/>
    <w:rsid w:val="5EDD52DA"/>
    <w:rsid w:val="5F3A15AE"/>
    <w:rsid w:val="5FDF446C"/>
    <w:rsid w:val="60507B10"/>
    <w:rsid w:val="608E1E75"/>
    <w:rsid w:val="60C55551"/>
    <w:rsid w:val="60CF5E60"/>
    <w:rsid w:val="611D2D3D"/>
    <w:rsid w:val="61B426C3"/>
    <w:rsid w:val="61F636C4"/>
    <w:rsid w:val="630F152C"/>
    <w:rsid w:val="63190F45"/>
    <w:rsid w:val="63392A57"/>
    <w:rsid w:val="63577E08"/>
    <w:rsid w:val="639E5FFE"/>
    <w:rsid w:val="63B2141C"/>
    <w:rsid w:val="64DB2183"/>
    <w:rsid w:val="65052DFD"/>
    <w:rsid w:val="657171FE"/>
    <w:rsid w:val="66237144"/>
    <w:rsid w:val="667659CB"/>
    <w:rsid w:val="66D222BD"/>
    <w:rsid w:val="67780A06"/>
    <w:rsid w:val="684C1B2A"/>
    <w:rsid w:val="69752891"/>
    <w:rsid w:val="699F7A7E"/>
    <w:rsid w:val="6A4D37C4"/>
    <w:rsid w:val="6A626160"/>
    <w:rsid w:val="6BA1066E"/>
    <w:rsid w:val="6BA32EA6"/>
    <w:rsid w:val="6BCF1867"/>
    <w:rsid w:val="6C5A4A87"/>
    <w:rsid w:val="6CFE1E5E"/>
    <w:rsid w:val="6D191B61"/>
    <w:rsid w:val="6E0B4599"/>
    <w:rsid w:val="6FAA4F3F"/>
    <w:rsid w:val="6FE2091C"/>
    <w:rsid w:val="6FF62F8F"/>
    <w:rsid w:val="70974F48"/>
    <w:rsid w:val="709F4552"/>
    <w:rsid w:val="70DD65B6"/>
    <w:rsid w:val="74784BA3"/>
    <w:rsid w:val="74BA6911"/>
    <w:rsid w:val="75B02886"/>
    <w:rsid w:val="76510AD5"/>
    <w:rsid w:val="769907B6"/>
    <w:rsid w:val="77412D88"/>
    <w:rsid w:val="78730E00"/>
    <w:rsid w:val="7984694D"/>
    <w:rsid w:val="79875270"/>
    <w:rsid w:val="799E2892"/>
    <w:rsid w:val="7A2C0685"/>
    <w:rsid w:val="7A905722"/>
    <w:rsid w:val="7ADA65C4"/>
    <w:rsid w:val="7B3813B3"/>
    <w:rsid w:val="7B567A6A"/>
    <w:rsid w:val="7B864D4F"/>
    <w:rsid w:val="7C45606D"/>
    <w:rsid w:val="7D5D23BD"/>
    <w:rsid w:val="7D5F03BC"/>
    <w:rsid w:val="7DE351A0"/>
    <w:rsid w:val="7F147933"/>
    <w:rsid w:val="7FC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outlineLvl w:val="0"/>
    </w:pPr>
    <w:rPr>
      <w:rFonts w:eastAsia="方正黑体_GBK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ind w:firstLine="420" w:firstLineChars="100"/>
    </w:pPr>
  </w:style>
  <w:style w:type="paragraph" w:styleId="7">
    <w:name w:val="Body Text Indent"/>
    <w:basedOn w:val="1"/>
    <w:qFormat/>
    <w:uiPriority w:val="0"/>
    <w:pPr>
      <w:spacing w:line="420" w:lineRule="exact"/>
      <w:ind w:firstLine="225" w:firstLineChars="225"/>
    </w:pPr>
    <w:rPr>
      <w:rFonts w:ascii="??_GB2312" w:hAnsi="??_GB2312" w:eastAsia="Times New Roman"/>
      <w:color w:val="000000"/>
      <w:sz w:val="24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200" w:firstLineChars="200"/>
    </w:pPr>
    <w:rPr>
      <w:rFonts w:ascii="Calibri" w:hAnsi="Calibri" w:eastAsia="宋体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！标题1 Alt+1"/>
    <w:basedOn w:val="1"/>
    <w:next w:val="17"/>
    <w:qFormat/>
    <w:uiPriority w:val="0"/>
    <w:pPr>
      <w:numPr>
        <w:ilvl w:val="0"/>
        <w:numId w:val="1"/>
      </w:numPr>
      <w:adjustRightInd w:val="0"/>
      <w:snapToGrid w:val="0"/>
      <w:spacing w:afterLines="50" w:line="360" w:lineRule="auto"/>
      <w:jc w:val="center"/>
      <w:outlineLvl w:val="0"/>
    </w:pPr>
    <w:rPr>
      <w:rFonts w:ascii="Times New Roman" w:hAnsi="Times New Roman" w:eastAsia="宋体" w:cs="Times New Roman"/>
      <w:b/>
      <w:sz w:val="36"/>
      <w:szCs w:val="32"/>
    </w:rPr>
  </w:style>
  <w:style w:type="paragraph" w:customStyle="1" w:styleId="17">
    <w:name w:val="！正文 Alt+0"/>
    <w:basedOn w:val="1"/>
    <w:qFormat/>
    <w:uiPriority w:val="0"/>
    <w:pPr>
      <w:ind w:firstLine="200" w:firstLineChars="200"/>
    </w:pPr>
    <w:rPr>
      <w:kern w:val="0"/>
      <w:sz w:val="28"/>
      <w:szCs w:val="28"/>
    </w:rPr>
  </w:style>
  <w:style w:type="paragraph" w:customStyle="1" w:styleId="18">
    <w:name w:val="_Style 18"/>
    <w:basedOn w:val="1"/>
    <w:semiHidden/>
    <w:qFormat/>
    <w:uiPriority w:val="0"/>
    <w:rPr>
      <w:rFonts w:eastAsia="宋体"/>
      <w:ker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2023-03-24T08:48:00Z</dcterms:created>
  <dc:creator>Administrator</dc:creator>
  <cp:lastModifiedBy>Administrator</cp:lastModifiedBy>
  <cp:lastPrinted>2023-06-26T00:57:00Z</cp:lastPrinted>
  <dcterms:modified xsi:type="dcterms:W3CDTF">2023-07-20T01:12:39Z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179CE4ED40054021A58D13D39BD43E9E</vt:lpwstr>
  </property>
</Properties>
</file>