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Calibri" w:hAnsi="Calibri" w:cs="Calibri"/>
          <w:i w:val="0"/>
          <w:iCs w:val="0"/>
          <w:caps w:val="0"/>
          <w:color w:val="333333"/>
          <w:spacing w:val="0"/>
          <w:sz w:val="21"/>
          <w:szCs w:val="21"/>
        </w:rPr>
      </w:pPr>
      <w:r>
        <w:rPr>
          <w:rFonts w:ascii="方正小标宋_GBK" w:hAnsi="方正小标宋_GBK" w:eastAsia="方正小标宋_GBK" w:cs="方正小标宋_GBK"/>
          <w:i w:val="0"/>
          <w:iCs w:val="0"/>
          <w:caps w:val="0"/>
          <w:color w:val="333333"/>
          <w:spacing w:val="-15"/>
          <w:sz w:val="43"/>
          <w:szCs w:val="43"/>
          <w:bdr w:val="none" w:color="auto" w:sz="0" w:space="0"/>
          <w:shd w:val="clear" w:fill="FFFFFF"/>
        </w:rPr>
        <w:t>重庆市梁平区</w:t>
      </w:r>
      <w:r>
        <w:rPr>
          <w:rFonts w:hint="eastAsia" w:ascii="方正小标宋_GBK" w:hAnsi="方正小标宋_GBK" w:eastAsia="方正小标宋_GBK" w:cs="方正小标宋_GBK"/>
          <w:i w:val="0"/>
          <w:iCs w:val="0"/>
          <w:caps w:val="0"/>
          <w:color w:val="333333"/>
          <w:spacing w:val="-15"/>
          <w:sz w:val="43"/>
          <w:szCs w:val="43"/>
          <w:bdr w:val="none" w:color="auto" w:sz="0" w:space="0"/>
          <w:shd w:val="clear" w:fill="FFFFFF"/>
          <w:lang w:val="en-US" w:eastAsia="zh-CN"/>
        </w:rPr>
        <w:t>福禄镇</w:t>
      </w:r>
      <w:r>
        <w:rPr>
          <w:rFonts w:ascii="方正小标宋_GBK" w:hAnsi="方正小标宋_GBK" w:eastAsia="方正小标宋_GBK" w:cs="方正小标宋_GBK"/>
          <w:i w:val="0"/>
          <w:iCs w:val="0"/>
          <w:caps w:val="0"/>
          <w:color w:val="333333"/>
          <w:spacing w:val="-15"/>
          <w:sz w:val="43"/>
          <w:szCs w:val="43"/>
          <w:bdr w:val="none" w:color="auto" w:sz="0" w:space="0"/>
          <w:shd w:val="clear" w:fill="FFFFFF"/>
        </w:rPr>
        <w:t>综合行政执法大队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Calibri" w:hAnsi="Calibri" w:cs="Calibri"/>
          <w:i w:val="0"/>
          <w:iCs w:val="0"/>
          <w:caps w:val="0"/>
          <w:color w:val="333333"/>
          <w:spacing w:val="0"/>
          <w:sz w:val="21"/>
          <w:szCs w:val="21"/>
        </w:rPr>
      </w:pPr>
      <w:r>
        <w:rPr>
          <w:rFonts w:hint="default" w:ascii="Times New Roman" w:hAnsi="Times New Roman" w:eastAsia="方正小标宋_GBK" w:cs="Times New Roman"/>
          <w:i w:val="0"/>
          <w:iCs w:val="0"/>
          <w:caps w:val="0"/>
          <w:color w:val="333333"/>
          <w:spacing w:val="-15"/>
          <w:sz w:val="43"/>
          <w:szCs w:val="43"/>
          <w:bdr w:val="none" w:color="auto" w:sz="0" w:space="0"/>
          <w:shd w:val="clear" w:fill="FFFFFF"/>
        </w:rPr>
        <w:t>2024</w:t>
      </w:r>
      <w:r>
        <w:rPr>
          <w:rFonts w:hint="eastAsia" w:ascii="方正小标宋_GBK" w:hAnsi="方正小标宋_GBK" w:eastAsia="方正小标宋_GBK" w:cs="方正小标宋_GBK"/>
          <w:i w:val="0"/>
          <w:iCs w:val="0"/>
          <w:caps w:val="0"/>
          <w:color w:val="333333"/>
          <w:spacing w:val="-15"/>
          <w:sz w:val="43"/>
          <w:szCs w:val="43"/>
          <w:bdr w:val="none" w:color="auto" w:sz="0" w:space="0"/>
          <w:shd w:val="clear" w:fill="FFFFFF"/>
        </w:rPr>
        <w:t>年单位预算情况说明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85"/>
        <w:jc w:val="center"/>
        <w:rPr>
          <w:rFonts w:hint="default" w:ascii="Calibri" w:hAnsi="Calibri" w:cs="Calibri"/>
          <w:i w:val="0"/>
          <w:iCs w:val="0"/>
          <w:caps w:val="0"/>
          <w:color w:val="333333"/>
          <w:spacing w:val="0"/>
          <w:sz w:val="21"/>
          <w:szCs w:val="21"/>
        </w:rPr>
      </w:pPr>
      <w:r>
        <w:rPr>
          <w:rFonts w:ascii="华文中宋" w:hAnsi="华文中宋" w:eastAsia="华文中宋" w:cs="华文中宋"/>
          <w:i w:val="0"/>
          <w:iCs w:val="0"/>
          <w:caps w:val="0"/>
          <w:color w:val="333333"/>
          <w:spacing w:val="0"/>
          <w:sz w:val="43"/>
          <w:szCs w:val="43"/>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一、单位基本情况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ascii="方正楷体_GBK" w:hAnsi="方正楷体_GBK" w:eastAsia="方正楷体_GBK" w:cs="方正楷体_GBK"/>
          <w:i w:val="0"/>
          <w:iCs w:val="0"/>
          <w:caps w:val="0"/>
          <w:color w:val="333333"/>
          <w:spacing w:val="0"/>
          <w:sz w:val="31"/>
          <w:szCs w:val="31"/>
          <w:bdr w:val="none" w:color="auto" w:sz="0" w:space="0"/>
          <w:shd w:val="clear" w:fill="FFFFFF"/>
        </w:rPr>
        <w:t>（一）职能职责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ascii="方正仿宋_GBK" w:hAnsi="方正仿宋_GBK" w:eastAsia="方正仿宋_GBK" w:cs="方正仿宋_GBK"/>
          <w:i w:val="0"/>
          <w:iCs w:val="0"/>
          <w:caps w:val="0"/>
          <w:color w:val="333333"/>
          <w:spacing w:val="0"/>
          <w:sz w:val="31"/>
          <w:szCs w:val="31"/>
          <w:bdr w:val="none" w:color="auto" w:sz="0" w:space="0"/>
          <w:shd w:val="clear" w:fill="FFFFFF"/>
        </w:rPr>
        <w:t>宣传</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贯彻执行综合行政执法领域相关的法律、法规和规章；依照法律法规的授权或委托，对违反农业、农机、畜牧、林政、水保水政管理、城乡规划和建设管理、市政市容和环境卫生管理、生态环境、卫生健康、文化旅游管理、民政管理、安全生产监督管理、劳动及社会保障管理、消防管理等方面规定的行为行使行政处罚权；承担区级部门依法委托的其他行政处罚职责；配合区级执法部门开展联合执法、专项执法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重庆市梁平区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lang w:val="en-US" w:eastAsia="zh-CN"/>
        </w:rPr>
        <w:t>福禄镇</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综合行政执法大队</w:t>
      </w:r>
      <w:r>
        <w:rPr>
          <w:rFonts w:hint="default" w:ascii="Calibri" w:hAnsi="Calibri" w:eastAsia="方正仿宋_GBK" w:cs="Calibri"/>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年独立核算。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二、单位收支总体情况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（一）收入预算</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年年初预算数</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89.48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万元，其中：一般公共预算拨款</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89.48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万元，政府性基金预算拨款</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万元，国有资本经营预算拨款</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万元，财政专户管理资金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万元，事业收入资金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万元，上级补助收入资金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万元，附属单位上缴收入资金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万元，事业单位经营收入资金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万元，其他收入资金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万元；收入比</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年增加</w:t>
      </w:r>
      <w:r>
        <w:rPr>
          <w:rFonts w:hint="eastAsia" w:ascii="Times New Roman" w:hAnsi="Times New Roman" w:eastAsia="方正仿宋_GBK" w:cs="Times New Roman"/>
          <w:i w:val="0"/>
          <w:iCs w:val="0"/>
          <w:caps w:val="0"/>
          <w:color w:val="333333"/>
          <w:spacing w:val="0"/>
          <w:sz w:val="31"/>
          <w:szCs w:val="31"/>
          <w:bdr w:val="none" w:color="auto" w:sz="0" w:space="0"/>
          <w:shd w:val="clear" w:fill="FFFFFF"/>
          <w:lang w:val="en-US" w:eastAsia="zh-CN"/>
        </w:rPr>
        <w:t>0.78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万元，主要是一般公共预算拨款</w:t>
      </w:r>
      <w:r>
        <w:rPr>
          <w:rFonts w:hint="eastAsia" w:ascii="方正仿宋_GBK" w:hAnsi="方正仿宋_GBK" w:eastAsia="方正仿宋_GBK" w:cs="方正仿宋_GBK"/>
          <w:i w:val="0"/>
          <w:iCs w:val="0"/>
          <w:caps w:val="0"/>
          <w:color w:val="333333"/>
          <w:spacing w:val="0"/>
          <w:sz w:val="31"/>
          <w:szCs w:val="31"/>
          <w:shd w:val="clear" w:fill="FFFFFF"/>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0.78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（二）支出预算</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年年初预算数</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89.48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万元，其中：社会保障和就业支出</w:t>
      </w:r>
      <w:r>
        <w:rPr>
          <w:rFonts w:hint="eastAsia" w:ascii="Times New Roman" w:hAnsi="Times New Roman" w:eastAsia="方正仿宋_GBK" w:cs="Times New Roman"/>
          <w:i w:val="0"/>
          <w:iCs w:val="0"/>
          <w:caps w:val="0"/>
          <w:color w:val="333333"/>
          <w:spacing w:val="0"/>
          <w:sz w:val="31"/>
          <w:szCs w:val="31"/>
          <w:bdr w:val="none" w:color="auto" w:sz="0" w:space="0"/>
          <w:shd w:val="clear" w:fill="FFFFFF"/>
          <w:lang w:val="en-US" w:eastAsia="zh-CN"/>
        </w:rPr>
        <w:t>7.79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万元，卫生健康支出</w:t>
      </w:r>
      <w:r>
        <w:rPr>
          <w:rFonts w:hint="eastAsia" w:ascii="Times New Roman" w:hAnsi="Times New Roman" w:eastAsia="方正仿宋_GBK" w:cs="Times New Roman"/>
          <w:i w:val="0"/>
          <w:iCs w:val="0"/>
          <w:caps w:val="0"/>
          <w:color w:val="333333"/>
          <w:spacing w:val="0"/>
          <w:sz w:val="31"/>
          <w:szCs w:val="31"/>
          <w:bdr w:val="none" w:color="auto" w:sz="0" w:space="0"/>
          <w:shd w:val="clear" w:fill="FFFFFF"/>
          <w:lang w:val="en-US" w:eastAsia="zh-CN"/>
        </w:rPr>
        <w:t>3.88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万元，住房保障支出</w:t>
      </w:r>
      <w:r>
        <w:rPr>
          <w:rFonts w:hint="eastAsia" w:ascii="Times New Roman" w:hAnsi="Times New Roman" w:eastAsia="方正仿宋_GBK" w:cs="Times New Roman"/>
          <w:i w:val="0"/>
          <w:iCs w:val="0"/>
          <w:caps w:val="0"/>
          <w:color w:val="333333"/>
          <w:spacing w:val="0"/>
          <w:sz w:val="31"/>
          <w:szCs w:val="31"/>
          <w:bdr w:val="none" w:color="auto" w:sz="0" w:space="0"/>
          <w:shd w:val="clear" w:fill="FFFFFF"/>
          <w:lang w:val="en-US" w:eastAsia="zh-CN"/>
        </w:rPr>
        <w:t>3.90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万元，一般公共服务支出</w:t>
      </w:r>
      <w:r>
        <w:rPr>
          <w:rFonts w:hint="eastAsia" w:ascii="Times New Roman" w:hAnsi="Times New Roman" w:eastAsia="方正仿宋_GBK" w:cs="Times New Roman"/>
          <w:i w:val="0"/>
          <w:iCs w:val="0"/>
          <w:caps w:val="0"/>
          <w:color w:val="333333"/>
          <w:spacing w:val="0"/>
          <w:sz w:val="31"/>
          <w:szCs w:val="31"/>
          <w:bdr w:val="none" w:color="auto" w:sz="0" w:space="0"/>
          <w:shd w:val="clear" w:fill="FFFFFF"/>
          <w:lang w:val="en-US" w:eastAsia="zh-CN"/>
        </w:rPr>
        <w:t>73.91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万元；支出比</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0.78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万元，主要是基本支出</w:t>
      </w:r>
      <w:r>
        <w:rPr>
          <w:rFonts w:hint="eastAsia" w:ascii="方正仿宋_GBK" w:hAnsi="方正仿宋_GBK" w:eastAsia="方正仿宋_GBK" w:cs="方正仿宋_GBK"/>
          <w:i w:val="0"/>
          <w:iCs w:val="0"/>
          <w:caps w:val="0"/>
          <w:color w:val="333333"/>
          <w:spacing w:val="0"/>
          <w:sz w:val="31"/>
          <w:szCs w:val="31"/>
          <w:shd w:val="clear" w:fill="FFFFFF"/>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0.78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三、单位预算情况说明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年一般公共预算财政拨款收入</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89.48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万元，一般公共预算财政拨款支出</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89.48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万元，比</w:t>
      </w:r>
      <w:r>
        <w:rPr>
          <w:rFonts w:hint="default" w:ascii="Times New Roman" w:hAnsi="Times New Roman"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0.78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万元。其中：基本支出</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89.48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万元，主要用于保障在职人员工资福利及社会保险缴费、退休人员补助等，保障部门正常运转的各项商品服务支出，比</w:t>
      </w:r>
      <w:r>
        <w:rPr>
          <w:rFonts w:hint="default" w:ascii="Times New Roman" w:hAnsi="Times New Roman"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0.78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万元，主要原因是人员工资、社保等调标；项目支出</w:t>
      </w:r>
      <w:r>
        <w:rPr>
          <w:rFonts w:hint="default" w:ascii="Calibri" w:hAnsi="Calibri" w:eastAsia="方正仿宋_GBK" w:cs="Calibri"/>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万元，与</w:t>
      </w:r>
      <w:r>
        <w:rPr>
          <w:rFonts w:hint="default" w:ascii="Calibri" w:hAnsi="Calibri" w:cs="Calibri"/>
          <w:i w:val="0"/>
          <w:iCs w:val="0"/>
          <w:caps w:val="0"/>
          <w:color w:val="333333"/>
          <w:spacing w:val="0"/>
          <w:sz w:val="31"/>
          <w:szCs w:val="31"/>
          <w:bdr w:val="none" w:color="auto" w:sz="0" w:space="0"/>
          <w:shd w:val="clear" w:fill="FFFFFF"/>
        </w:rPr>
        <w:t>202</w:t>
      </w:r>
      <w:r>
        <w:rPr>
          <w:rFonts w:hint="default" w:ascii="Calibri" w:hAnsi="Calibri" w:eastAsia="方正仿宋_GBK" w:cs="Calibri"/>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年持平，主要原因是无预算项目。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年无使用政府性基金预算拨款安排的支出，与上年保持一致。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四、“三公”经费情况说明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重庆市梁平区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lang w:val="en-US" w:eastAsia="zh-CN"/>
        </w:rPr>
        <w:t>福禄镇</w:t>
      </w:r>
      <w:bookmarkStart w:id="0" w:name="_GoBack"/>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综合行政执法大队</w:t>
      </w:r>
      <w:bookmarkEnd w:id="0"/>
      <w:r>
        <w:rPr>
          <w:rFonts w:hint="default" w:ascii="Calibri" w:hAnsi="Calibri" w:cs="Calibri"/>
          <w:i w:val="0"/>
          <w:iCs w:val="0"/>
          <w:caps w:val="0"/>
          <w:color w:val="333333"/>
          <w:spacing w:val="0"/>
          <w:sz w:val="31"/>
          <w:szCs w:val="31"/>
          <w:bdr w:val="none" w:color="auto" w:sz="0" w:space="0"/>
          <w:shd w:val="clear" w:fill="FFFFFF"/>
        </w:rPr>
        <w:t>202</w:t>
      </w:r>
      <w:r>
        <w:rPr>
          <w:rFonts w:hint="default" w:ascii="Calibri" w:hAnsi="Calibri" w:eastAsia="方正仿宋_GBK" w:cs="Calibri"/>
          <w:i w:val="0"/>
          <w:iCs w:val="0"/>
          <w:caps w:val="0"/>
          <w:color w:val="333333"/>
          <w:spacing w:val="0"/>
          <w:sz w:val="31"/>
          <w:szCs w:val="31"/>
          <w:bdr w:val="none" w:color="auto" w:sz="0" w:space="0"/>
          <w:shd w:val="clear" w:fill="FFFFFF"/>
        </w:rPr>
        <w:t>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年无三公经费预算拨款安排的支出。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五、其他重要事项的情况说明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（一）机关运行经费</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。我单位不在机关运行经费统计范围之内。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（二）政府采购情况</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。本单位政府采购预算总额</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万元：政府采购货物预算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万元、政府采购工程预算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万元、政府采购服务预算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万元：政府采购货物预算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万元、政府采购工程预算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万元、政府采购服务预算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（三）绩效目标设置情况</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年无项目绩效目标。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（四）国有资产占有使用情况</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。截止</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12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月，本单位共有车辆</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辆，其中一般公务用车</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辆、执勤执法用车</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年一般公共预算安排购置车辆</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辆，其中一般公务用车</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辆、执勤执法用车</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六、专业性名词解释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（一）财政拨款收入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：指本年度从本级财政部门取得的财政拨款，包括一般公共预算财政拨款、政府性基金预算财政拨款和国有资本经营预算财政拨款。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（二）其他收入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：指单位取得的除“财政拨款收入”、“事业收入”、“经营收入”等以外的收入。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（三）基本支出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：指为保障机构正常运转、完成日常工作任务而发生的人员经费和公用经费。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（四）项目支出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：指在基本支出之外为完成特定行政任务和事业发展目标所发生的支出。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（五）“三公”经费</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方正仿宋_GBK" w:cs="Times New Roman"/>
          <w:i w:val="0"/>
          <w:iCs w:val="0"/>
          <w:caps w:val="0"/>
          <w:color w:val="333333"/>
          <w:spacing w:val="0"/>
          <w:sz w:val="21"/>
          <w:szCs w:val="21"/>
          <w:lang w:val="en-US" w:eastAsia="zh-CN"/>
        </w:rPr>
      </w:pPr>
      <w:r>
        <w:rPr>
          <w:rFonts w:hint="eastAsia" w:ascii="方正仿宋_GBK" w:hAnsi="方正仿宋_GBK" w:eastAsia="方正仿宋_GBK" w:cs="方正仿宋_GBK"/>
          <w:i w:val="0"/>
          <w:iCs w:val="0"/>
          <w:caps w:val="0"/>
          <w:color w:val="333333"/>
          <w:spacing w:val="0"/>
          <w:sz w:val="31"/>
          <w:szCs w:val="31"/>
          <w:shd w:val="clear" w:fill="FFFFFF"/>
        </w:rPr>
        <w:t>单位预算公开联系人：</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唐毅</w:t>
      </w:r>
      <w:r>
        <w:rPr>
          <w:rFonts w:hint="default" w:ascii="Times New Roman" w:hAnsi="Times New Roman"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   </w:t>
      </w:r>
      <w:r>
        <w:rPr>
          <w:rFonts w:hint="default" w:ascii="Times New Roman" w:hAnsi="Times New Roman"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联系方式：</w:t>
      </w:r>
      <w:r>
        <w:rPr>
          <w:rFonts w:hint="eastAsia" w:ascii="Times New Roman" w:hAnsi="Times New Roman" w:eastAsia="方正仿宋_GBK" w:cs="Times New Roman"/>
          <w:i w:val="0"/>
          <w:iCs w:val="0"/>
          <w:caps w:val="0"/>
          <w:color w:val="333333"/>
          <w:spacing w:val="0"/>
          <w:sz w:val="31"/>
          <w:szCs w:val="31"/>
          <w:shd w:val="clear" w:fill="FFFFFF"/>
          <w:lang w:val="en-US" w:eastAsia="zh-CN"/>
        </w:rPr>
        <w:t>023-53312101</w:t>
      </w:r>
    </w:p>
    <w:p>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DMyNThlZmJhNDI3MGVjODEwZTI0NjAyY2ExMTcifQ=="/>
    <w:docVar w:name="KSO_WPS_MARK_KEY" w:val="99a5ac27-7606-44d9-9ba0-eac06eb60f12"/>
  </w:docVars>
  <w:rsids>
    <w:rsidRoot w:val="00215A35"/>
    <w:rsid w:val="00215A35"/>
    <w:rsid w:val="0053603E"/>
    <w:rsid w:val="043D7413"/>
    <w:rsid w:val="06657CA5"/>
    <w:rsid w:val="08CB5169"/>
    <w:rsid w:val="18436743"/>
    <w:rsid w:val="1A542FFB"/>
    <w:rsid w:val="1AB9484B"/>
    <w:rsid w:val="1D217056"/>
    <w:rsid w:val="1E8D223B"/>
    <w:rsid w:val="32534971"/>
    <w:rsid w:val="381B6706"/>
    <w:rsid w:val="3E50516D"/>
    <w:rsid w:val="3EAA48DB"/>
    <w:rsid w:val="40E073C1"/>
    <w:rsid w:val="417B0753"/>
    <w:rsid w:val="45275022"/>
    <w:rsid w:val="4A2F20BE"/>
    <w:rsid w:val="4D9D71B4"/>
    <w:rsid w:val="522527E8"/>
    <w:rsid w:val="63326F0D"/>
    <w:rsid w:val="6B7F3A3F"/>
    <w:rsid w:val="6C507F2E"/>
    <w:rsid w:val="73B11A25"/>
    <w:rsid w:val="77F94D76"/>
    <w:rsid w:val="7B5565CF"/>
    <w:rsid w:val="7EFF20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Calibri" w:hAnsi="Calibri"/>
      <w:kern w:val="0"/>
      <w:sz w:val="24"/>
    </w:rPr>
  </w:style>
  <w:style w:type="character" w:styleId="7">
    <w:name w:val="Strong"/>
    <w:basedOn w:val="6"/>
    <w:qFormat/>
    <w:uiPriority w:val="0"/>
    <w:rPr>
      <w:b/>
    </w:rPr>
  </w:style>
  <w:style w:type="character" w:customStyle="1" w:styleId="8">
    <w:name w:val="页脚 Char"/>
    <w:link w:val="2"/>
    <w:qFormat/>
    <w:uiPriority w:val="0"/>
    <w:rPr>
      <w:kern w:val="2"/>
      <w:sz w:val="18"/>
      <w:szCs w:val="18"/>
    </w:rPr>
  </w:style>
  <w:style w:type="character" w:customStyle="1" w:styleId="9">
    <w:name w:val="页眉 Char"/>
    <w:link w:val="3"/>
    <w:qFormat/>
    <w:uiPriority w:val="0"/>
    <w:rPr>
      <w:kern w:val="2"/>
      <w:sz w:val="18"/>
      <w:szCs w:val="18"/>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1449</Words>
  <Characters>1563</Characters>
  <Lines>14</Lines>
  <Paragraphs>4</Paragraphs>
  <TotalTime>1</TotalTime>
  <ScaleCrop>false</ScaleCrop>
  <LinksUpToDate>false</LinksUpToDate>
  <CharactersWithSpaces>1563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dcterms:modified xsi:type="dcterms:W3CDTF">2024-06-25T04:05:02Z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9A4797F70FEA4110AFFCBE5AC7E7BB6E_13</vt:lpwstr>
  </property>
</Properties>
</file>