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_GB2312" w:hAnsi="仿宋_GB2312" w:eastAsia="仿宋_GB2312" w:cs="仿宋_GB2312"/>
          <w:i w:val="0"/>
          <w:iCs w:val="0"/>
          <w:caps w:val="0"/>
          <w:color w:val="333333"/>
          <w:spacing w:val="0"/>
          <w:sz w:val="44"/>
          <w:szCs w:val="44"/>
        </w:rPr>
      </w:pPr>
      <w:r>
        <w:rPr>
          <w:rFonts w:hint="eastAsia" w:ascii="仿宋_GB2312" w:hAnsi="仿宋_GB2312" w:eastAsia="仿宋_GB2312" w:cs="仿宋_GB2312"/>
          <w:i w:val="0"/>
          <w:iCs w:val="0"/>
          <w:caps w:val="0"/>
          <w:color w:val="333333"/>
          <w:spacing w:val="-15"/>
          <w:sz w:val="44"/>
          <w:szCs w:val="44"/>
          <w:shd w:val="clear" w:fill="FFFFFF"/>
        </w:rPr>
        <w:t>重庆市梁平区</w:t>
      </w:r>
      <w:r>
        <w:rPr>
          <w:rFonts w:hint="eastAsia" w:ascii="仿宋_GB2312" w:hAnsi="仿宋_GB2312" w:eastAsia="仿宋_GB2312" w:cs="仿宋_GB2312"/>
          <w:i w:val="0"/>
          <w:iCs w:val="0"/>
          <w:caps w:val="0"/>
          <w:color w:val="333333"/>
          <w:spacing w:val="-15"/>
          <w:sz w:val="44"/>
          <w:szCs w:val="44"/>
          <w:shd w:val="clear" w:fill="FFFFFF"/>
          <w:lang w:val="en-US" w:eastAsia="zh-CN"/>
        </w:rPr>
        <w:t>福禄镇文化</w:t>
      </w:r>
      <w:r>
        <w:rPr>
          <w:rFonts w:hint="eastAsia" w:ascii="仿宋_GB2312" w:hAnsi="仿宋_GB2312" w:eastAsia="仿宋_GB2312" w:cs="仿宋_GB2312"/>
          <w:i w:val="0"/>
          <w:iCs w:val="0"/>
          <w:caps w:val="0"/>
          <w:color w:val="333333"/>
          <w:spacing w:val="-15"/>
          <w:sz w:val="44"/>
          <w:szCs w:val="44"/>
          <w:shd w:val="clear" w:fill="FFFFFF"/>
        </w:rPr>
        <w:t>服务中心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_GB2312" w:hAnsi="仿宋_GB2312" w:eastAsia="仿宋_GB2312" w:cs="仿宋_GB2312"/>
          <w:i w:val="0"/>
          <w:iCs w:val="0"/>
          <w:caps w:val="0"/>
          <w:color w:val="333333"/>
          <w:spacing w:val="0"/>
          <w:sz w:val="44"/>
          <w:szCs w:val="44"/>
        </w:rPr>
      </w:pPr>
      <w:r>
        <w:rPr>
          <w:rFonts w:hint="eastAsia" w:ascii="仿宋_GB2312" w:hAnsi="仿宋_GB2312" w:eastAsia="仿宋_GB2312" w:cs="仿宋_GB2312"/>
          <w:i w:val="0"/>
          <w:iCs w:val="0"/>
          <w:caps w:val="0"/>
          <w:color w:val="333333"/>
          <w:spacing w:val="-15"/>
          <w:sz w:val="44"/>
          <w:szCs w:val="44"/>
          <w:shd w:val="clear" w:fill="FFFFFF"/>
        </w:rPr>
        <w:t>2024年单位预算情况说明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885"/>
        <w:jc w:val="center"/>
        <w:rPr>
          <w:rFonts w:hint="default" w:ascii="Times New Roman" w:hAnsi="Times New Roman" w:cs="Times New Roman"/>
          <w:i w:val="0"/>
          <w:iCs w:val="0"/>
          <w:caps w:val="0"/>
          <w:color w:val="333333"/>
          <w:spacing w:val="0"/>
          <w:sz w:val="21"/>
          <w:szCs w:val="21"/>
        </w:rPr>
      </w:pPr>
      <w:r>
        <w:rPr>
          <w:rFonts w:ascii="华文中宋" w:hAnsi="华文中宋" w:eastAsia="华文中宋" w:cs="华文中宋"/>
          <w:i w:val="0"/>
          <w:iCs w:val="0"/>
          <w:caps w:val="0"/>
          <w:color w:val="333333"/>
          <w:spacing w:val="0"/>
          <w:sz w:val="43"/>
          <w:szCs w:val="43"/>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Times New Roman" w:hAnsi="Times New Roman" w:cs="Times New Roman"/>
          <w:i w:val="0"/>
          <w:iCs w:val="0"/>
          <w:caps w:val="0"/>
          <w:color w:val="333333"/>
          <w:spacing w:val="0"/>
          <w:sz w:val="21"/>
          <w:szCs w:val="21"/>
        </w:rPr>
      </w:pPr>
      <w:r>
        <w:rPr>
          <w:rFonts w:ascii="方正黑体_GBK" w:hAnsi="方正黑体_GBK" w:eastAsia="方正黑体_GBK" w:cs="方正黑体_GBK"/>
          <w:i w:val="0"/>
          <w:iCs w:val="0"/>
          <w:caps w:val="0"/>
          <w:color w:val="333333"/>
          <w:spacing w:val="0"/>
          <w:sz w:val="31"/>
          <w:szCs w:val="31"/>
          <w:bdr w:val="none" w:color="auto" w:sz="0" w:space="0"/>
          <w:shd w:val="clear" w:fill="FFFFFF"/>
        </w:rPr>
        <w:t>一、单位基本情况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Times New Roman" w:hAnsi="Times New Roman" w:cs="Times New Roman"/>
          <w:i w:val="0"/>
          <w:iCs w:val="0"/>
          <w:caps w:val="0"/>
          <w:color w:val="333333"/>
          <w:spacing w:val="0"/>
          <w:sz w:val="21"/>
          <w:szCs w:val="21"/>
        </w:rPr>
      </w:pPr>
      <w:r>
        <w:rPr>
          <w:rFonts w:ascii="方正楷体_GBK" w:hAnsi="方正楷体_GBK" w:eastAsia="方正楷体_GBK" w:cs="方正楷体_GBK"/>
          <w:i w:val="0"/>
          <w:iCs w:val="0"/>
          <w:caps w:val="0"/>
          <w:color w:val="333333"/>
          <w:spacing w:val="0"/>
          <w:sz w:val="31"/>
          <w:szCs w:val="31"/>
          <w:bdr w:val="none" w:color="auto" w:sz="0" w:space="0"/>
          <w:shd w:val="clear" w:fill="FFFFFF"/>
        </w:rPr>
        <w:t>（一）职能职责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Times New Roman" w:hAnsi="Times New Roman" w:cs="Times New Roman"/>
          <w:i w:val="0"/>
          <w:iCs w:val="0"/>
          <w:caps w:val="0"/>
          <w:color w:val="333333"/>
          <w:spacing w:val="0"/>
          <w:sz w:val="21"/>
          <w:szCs w:val="21"/>
        </w:rPr>
      </w:pPr>
      <w:r>
        <w:rPr>
          <w:rFonts w:ascii="方正仿宋_GBK" w:hAnsi="方正仿宋_GBK" w:eastAsia="方正仿宋_GBK" w:cs="方正仿宋_GBK"/>
          <w:i w:val="0"/>
          <w:iCs w:val="0"/>
          <w:caps w:val="0"/>
          <w:color w:val="333333"/>
          <w:spacing w:val="0"/>
          <w:sz w:val="31"/>
          <w:szCs w:val="31"/>
          <w:bdr w:val="none" w:color="auto" w:sz="0" w:space="0"/>
          <w:shd w:val="clear" w:fill="FFFFFF"/>
        </w:rPr>
        <w:t>对辖区内广大群众进行时政宣传和</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法治教育；组织开展丰富多彩的文体活动；负责广播、电视、电影等服务工作；利用全国文化信息资源共享工程举办各类文化艺术培训、科普讲座、农技知识等，辅导和培养文艺骨干；开办图书室，组织群众开展读书活动；负责辖区内旅游产业发展的宣传服务工作；搜集、整理民间文化艺术遗产，促进乡村特色文化的发展；指导和辅导基层文化组织和群众开展相关文体活动；做好辖区内文物、非物质文化遗产的宣传、保护等服务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（二）单位构成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重庆市梁平区</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lang w:val="en-US" w:eastAsia="zh-CN"/>
        </w:rPr>
        <w:t>福禄镇</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文化服务中</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lang w:val="en-US" w:eastAsia="zh-CN"/>
        </w:rPr>
        <w:t>心</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2024</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年独立核算。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sz w:val="31"/>
          <w:szCs w:val="31"/>
          <w:bdr w:val="none" w:color="auto" w:sz="0" w:space="0"/>
          <w:shd w:val="clear" w:fill="FFFFFF"/>
        </w:rPr>
        <w:t>二、单位收支总体情况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Times New Roman" w:hAnsi="Times New Roman" w:eastAsia="方正仿宋_GBK" w:cs="Times New Roman"/>
          <w:i w:val="0"/>
          <w:iCs w:val="0"/>
          <w:caps w:val="0"/>
          <w:color w:val="333333"/>
          <w:spacing w:val="0"/>
          <w:sz w:val="31"/>
          <w:szCs w:val="31"/>
          <w:shd w:val="clear" w:fill="FFFFFF"/>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（一）收入预算</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w:t>
      </w:r>
      <w:r>
        <w:rPr>
          <w:rFonts w:hint="default" w:ascii="Times New Roman" w:hAnsi="Times New Roman" w:cs="Times New Roman"/>
          <w:i w:val="0"/>
          <w:iCs w:val="0"/>
          <w:caps w:val="0"/>
          <w:color w:val="333333"/>
          <w:spacing w:val="0"/>
          <w:sz w:val="31"/>
          <w:szCs w:val="31"/>
          <w:bdr w:val="none" w:color="auto" w:sz="0" w:space="0"/>
          <w:shd w:val="clear" w:fill="FFFFFF"/>
        </w:rPr>
        <w:t>2024</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年年初预算数</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43.38</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万元，其中：一般公共预算拨款</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43.38</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万元，政府性基金预算拨款</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万元，国有资本经营预算拨款</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万元，财政专户管理资金</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万元，事业收入资金</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万元，上级补助收入资金</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万元，附属单位上缴收入资金</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万元，事业单位经营收入资金</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万元，其他收入资金</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万元；收入比</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2023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lang w:val="en-US" w:eastAsia="zh-CN"/>
        </w:rPr>
        <w:t>增加</w:t>
      </w:r>
      <w:r>
        <w:rPr>
          <w:rFonts w:hint="eastAsia" w:ascii="Times New Roman" w:hAnsi="Times New Roman" w:eastAsia="方正仿宋_GBK" w:cs="Times New Roman"/>
          <w:i w:val="0"/>
          <w:iCs w:val="0"/>
          <w:caps w:val="0"/>
          <w:color w:val="333333"/>
          <w:spacing w:val="0"/>
          <w:sz w:val="31"/>
          <w:szCs w:val="31"/>
          <w:shd w:val="clear" w:fill="FFFFFF"/>
          <w:lang w:val="en-US" w:eastAsia="zh-CN"/>
        </w:rPr>
        <w:t>0.39</w:t>
      </w:r>
      <w:r>
        <w:rPr>
          <w:rFonts w:hint="eastAsia" w:ascii="Times New Roman" w:hAnsi="Times New Roman" w:eastAsia="方正仿宋_GBK" w:cs="Times New Roman"/>
          <w:i w:val="0"/>
          <w:iCs w:val="0"/>
          <w:caps w:val="0"/>
          <w:color w:val="333333"/>
          <w:spacing w:val="0"/>
          <w:sz w:val="31"/>
          <w:szCs w:val="31"/>
          <w:shd w:val="clear" w:fill="FFFFFF"/>
        </w:rPr>
        <w:t>万元，主要是一般公共预算拨款</w:t>
      </w:r>
      <w:r>
        <w:rPr>
          <w:rFonts w:hint="eastAsia" w:ascii="Times New Roman" w:hAnsi="Times New Roman" w:eastAsia="方正仿宋_GBK" w:cs="Times New Roman"/>
          <w:i w:val="0"/>
          <w:iCs w:val="0"/>
          <w:caps w:val="0"/>
          <w:color w:val="333333"/>
          <w:spacing w:val="0"/>
          <w:sz w:val="31"/>
          <w:szCs w:val="31"/>
          <w:shd w:val="clear" w:fill="FFFFFF"/>
          <w:lang w:val="en-US" w:eastAsia="zh-CN"/>
        </w:rPr>
        <w:t>增加0.39</w:t>
      </w:r>
      <w:r>
        <w:rPr>
          <w:rFonts w:hint="eastAsia" w:ascii="Times New Roman" w:hAnsi="Times New Roman" w:eastAsia="方正仿宋_GBK" w:cs="Times New Roman"/>
          <w:i w:val="0"/>
          <w:iCs w:val="0"/>
          <w:caps w:val="0"/>
          <w:color w:val="333333"/>
          <w:spacing w:val="0"/>
          <w:sz w:val="31"/>
          <w:szCs w:val="31"/>
          <w:shd w:val="clear" w:fill="FFFFFF"/>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（二）支出预算</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w:t>
      </w:r>
      <w:r>
        <w:rPr>
          <w:rFonts w:hint="default" w:ascii="Times New Roman" w:hAnsi="Times New Roman" w:cs="Times New Roman"/>
          <w:i w:val="0"/>
          <w:iCs w:val="0"/>
          <w:caps w:val="0"/>
          <w:color w:val="333333"/>
          <w:spacing w:val="0"/>
          <w:sz w:val="31"/>
          <w:szCs w:val="31"/>
          <w:bdr w:val="none" w:color="auto" w:sz="0" w:space="0"/>
          <w:shd w:val="clear" w:fill="FFFFFF"/>
        </w:rPr>
        <w:t>2024</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年年初预算数</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43.38</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万元，其中：社会保障和就业支出</w:t>
      </w:r>
      <w:r>
        <w:rPr>
          <w:rFonts w:hint="eastAsia" w:ascii="Times New Roman" w:hAnsi="Times New Roman" w:eastAsia="方正仿宋_GBK" w:cs="Times New Roman"/>
          <w:i w:val="0"/>
          <w:iCs w:val="0"/>
          <w:caps w:val="0"/>
          <w:color w:val="333333"/>
          <w:spacing w:val="0"/>
          <w:sz w:val="31"/>
          <w:szCs w:val="31"/>
          <w:bdr w:val="none" w:color="auto" w:sz="0" w:space="0"/>
          <w:shd w:val="clear" w:fill="FFFFFF"/>
          <w:lang w:val="en-US" w:eastAsia="zh-CN"/>
        </w:rPr>
        <w:t>6.46</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万元，卫生健康支出</w:t>
      </w:r>
      <w:r>
        <w:rPr>
          <w:rFonts w:hint="eastAsia" w:ascii="Times New Roman" w:hAnsi="Times New Roman" w:eastAsia="方正仿宋_GBK" w:cs="Times New Roman"/>
          <w:i w:val="0"/>
          <w:iCs w:val="0"/>
          <w:caps w:val="0"/>
          <w:color w:val="333333"/>
          <w:spacing w:val="0"/>
          <w:sz w:val="31"/>
          <w:szCs w:val="31"/>
          <w:bdr w:val="none" w:color="auto" w:sz="0" w:space="0"/>
          <w:shd w:val="clear" w:fill="FFFFFF"/>
          <w:lang w:val="en-US" w:eastAsia="zh-CN"/>
        </w:rPr>
        <w:t>2.02</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万元，住房保障支出</w:t>
      </w:r>
      <w:r>
        <w:rPr>
          <w:rFonts w:hint="eastAsia" w:ascii="Times New Roman" w:hAnsi="Times New Roman" w:eastAsia="方正仿宋_GBK" w:cs="Times New Roman"/>
          <w:i w:val="0"/>
          <w:iCs w:val="0"/>
          <w:caps w:val="0"/>
          <w:color w:val="333333"/>
          <w:spacing w:val="0"/>
          <w:sz w:val="31"/>
          <w:szCs w:val="31"/>
          <w:bdr w:val="none" w:color="auto" w:sz="0" w:space="0"/>
          <w:shd w:val="clear" w:fill="FFFFFF"/>
          <w:lang w:val="en-US" w:eastAsia="zh-CN"/>
        </w:rPr>
        <w:t>1.90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万元，文化旅游体育与传媒支出</w:t>
      </w:r>
      <w:r>
        <w:rPr>
          <w:rFonts w:hint="eastAsia" w:ascii="Times New Roman" w:hAnsi="Times New Roman" w:eastAsia="方正仿宋_GBK" w:cs="Times New Roman"/>
          <w:i w:val="0"/>
          <w:iCs w:val="0"/>
          <w:caps w:val="0"/>
          <w:color w:val="333333"/>
          <w:spacing w:val="0"/>
          <w:sz w:val="31"/>
          <w:szCs w:val="31"/>
          <w:bdr w:val="none" w:color="auto" w:sz="0" w:space="0"/>
          <w:shd w:val="clear" w:fill="FFFFFF"/>
          <w:lang w:val="en-US" w:eastAsia="zh-CN"/>
        </w:rPr>
        <w:t>32.99</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万元；支出比</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2023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增加</w:t>
      </w:r>
      <w:r>
        <w:rPr>
          <w:rFonts w:hint="eastAsia" w:ascii="Times New Roman" w:hAnsi="Times New Roman" w:eastAsia="方正仿宋_GBK" w:cs="Times New Roman"/>
          <w:i w:val="0"/>
          <w:iCs w:val="0"/>
          <w:caps w:val="0"/>
          <w:color w:val="333333"/>
          <w:spacing w:val="0"/>
          <w:sz w:val="31"/>
          <w:szCs w:val="31"/>
          <w:shd w:val="clear" w:fill="FFFFFF"/>
          <w:lang w:val="en-US" w:eastAsia="zh-CN"/>
        </w:rPr>
        <w:t>0.39</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万元，主要是基本支出</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增加</w:t>
      </w:r>
      <w:r>
        <w:rPr>
          <w:rFonts w:hint="eastAsia" w:ascii="Times New Roman" w:hAnsi="Times New Roman" w:eastAsia="方正仿宋_GBK" w:cs="Times New Roman"/>
          <w:i w:val="0"/>
          <w:iCs w:val="0"/>
          <w:caps w:val="0"/>
          <w:color w:val="333333"/>
          <w:spacing w:val="0"/>
          <w:sz w:val="31"/>
          <w:szCs w:val="31"/>
          <w:shd w:val="clear" w:fill="FFFFFF"/>
          <w:lang w:val="en-US" w:eastAsia="zh-CN"/>
        </w:rPr>
        <w:t>0.39</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sz w:val="31"/>
          <w:szCs w:val="31"/>
          <w:bdr w:val="none" w:color="auto" w:sz="0" w:space="0"/>
          <w:shd w:val="clear" w:fill="FFFFFF"/>
        </w:rPr>
        <w:t>三、单位预算情况说明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31"/>
          <w:szCs w:val="31"/>
          <w:bdr w:val="none" w:color="auto" w:sz="0" w:space="0"/>
          <w:shd w:val="clear" w:fill="FFFFFF"/>
        </w:rPr>
        <w:t>2024</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年一般公共预算财政拨款收入</w:t>
      </w:r>
      <w:r>
        <w:rPr>
          <w:rFonts w:hint="default" w:ascii="Times New Roman" w:hAnsi="Times New Roman" w:eastAsia="方正仿宋_GBK" w:cs="Times New Roman"/>
          <w:i w:val="0"/>
          <w:iCs w:val="0"/>
          <w:caps w:val="0"/>
          <w:color w:val="333333"/>
          <w:spacing w:val="0"/>
          <w:sz w:val="31"/>
          <w:szCs w:val="31"/>
          <w:shd w:val="clear" w:fill="FFFFFF"/>
        </w:rPr>
        <w:t>43.38</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万元，一般公共预算财政拨款支出</w:t>
      </w:r>
      <w:r>
        <w:rPr>
          <w:rFonts w:hint="default" w:ascii="Times New Roman" w:hAnsi="Times New Roman" w:eastAsia="方正仿宋_GBK" w:cs="Times New Roman"/>
          <w:i w:val="0"/>
          <w:iCs w:val="0"/>
          <w:caps w:val="0"/>
          <w:color w:val="333333"/>
          <w:spacing w:val="0"/>
          <w:sz w:val="31"/>
          <w:szCs w:val="31"/>
          <w:shd w:val="clear" w:fill="FFFFFF"/>
        </w:rPr>
        <w:t>43.38</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万元，比</w:t>
      </w:r>
      <w:r>
        <w:rPr>
          <w:rFonts w:hint="default" w:ascii="Times New Roman" w:hAnsi="Times New Roman" w:cs="Times New Roman"/>
          <w:i w:val="0"/>
          <w:iCs w:val="0"/>
          <w:caps w:val="0"/>
          <w:color w:val="333333"/>
          <w:spacing w:val="0"/>
          <w:sz w:val="31"/>
          <w:szCs w:val="31"/>
          <w:bdr w:val="none" w:color="auto" w:sz="0" w:space="0"/>
          <w:shd w:val="clear" w:fill="FFFFFF"/>
        </w:rPr>
        <w:t>2023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增加</w:t>
      </w:r>
      <w:r>
        <w:rPr>
          <w:rFonts w:hint="eastAsia" w:ascii="Times New Roman" w:hAnsi="Times New Roman" w:eastAsia="方正仿宋_GBK" w:cs="Times New Roman"/>
          <w:i w:val="0"/>
          <w:iCs w:val="0"/>
          <w:caps w:val="0"/>
          <w:color w:val="333333"/>
          <w:spacing w:val="0"/>
          <w:sz w:val="31"/>
          <w:szCs w:val="31"/>
          <w:shd w:val="clear" w:fill="FFFFFF"/>
          <w:lang w:val="en-US" w:eastAsia="zh-CN"/>
        </w:rPr>
        <w:t>0.39</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万元。其中：基本支出</w:t>
      </w:r>
      <w:r>
        <w:rPr>
          <w:rFonts w:hint="default" w:ascii="Times New Roman" w:hAnsi="Times New Roman" w:eastAsia="方正仿宋_GBK" w:cs="Times New Roman"/>
          <w:i w:val="0"/>
          <w:iCs w:val="0"/>
          <w:caps w:val="0"/>
          <w:color w:val="333333"/>
          <w:spacing w:val="0"/>
          <w:sz w:val="31"/>
          <w:szCs w:val="31"/>
          <w:shd w:val="clear" w:fill="FFFFFF"/>
        </w:rPr>
        <w:t>43.38</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万元，主要用于保障在职人员工资福利及社会保险缴费、退休人员补助等，保障部门正常运转的各项商品服务支出，比</w:t>
      </w:r>
      <w:r>
        <w:rPr>
          <w:rFonts w:hint="default" w:ascii="Times New Roman" w:hAnsi="Times New Roman" w:cs="Times New Roman"/>
          <w:i w:val="0"/>
          <w:iCs w:val="0"/>
          <w:caps w:val="0"/>
          <w:color w:val="333333"/>
          <w:spacing w:val="0"/>
          <w:sz w:val="31"/>
          <w:szCs w:val="31"/>
          <w:bdr w:val="none" w:color="auto" w:sz="0" w:space="0"/>
          <w:shd w:val="clear" w:fill="FFFFFF"/>
        </w:rPr>
        <w:t>2023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增加</w:t>
      </w:r>
      <w:r>
        <w:rPr>
          <w:rFonts w:hint="eastAsia" w:ascii="Times New Roman" w:hAnsi="Times New Roman" w:eastAsia="方正仿宋_GBK" w:cs="Times New Roman"/>
          <w:i w:val="0"/>
          <w:iCs w:val="0"/>
          <w:caps w:val="0"/>
          <w:color w:val="333333"/>
          <w:spacing w:val="0"/>
          <w:sz w:val="31"/>
          <w:szCs w:val="31"/>
          <w:shd w:val="clear" w:fill="FFFFFF"/>
          <w:lang w:val="en-US" w:eastAsia="zh-CN"/>
        </w:rPr>
        <w:t>0.39</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万元，主要原因</w:t>
      </w:r>
      <w:r>
        <w:rPr>
          <w:rFonts w:hint="eastAsia" w:ascii="方正仿宋_GBK" w:hAnsi="方正仿宋_GBK" w:eastAsia="方正仿宋_GBK" w:cs="方正仿宋_GBK"/>
          <w:i w:val="0"/>
          <w:iCs w:val="0"/>
          <w:caps w:val="0"/>
          <w:color w:val="333333"/>
          <w:spacing w:val="0"/>
          <w:sz w:val="31"/>
          <w:szCs w:val="31"/>
          <w:shd w:val="clear" w:fill="FFFFFF"/>
        </w:rPr>
        <w:t>文化旅游体育与传媒支出</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增加</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；项目支出</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万元，与</w:t>
      </w:r>
      <w:r>
        <w:rPr>
          <w:rFonts w:hint="default" w:ascii="Times New Roman" w:hAnsi="Times New Roman" w:cs="Times New Roman"/>
          <w:i w:val="0"/>
          <w:iCs w:val="0"/>
          <w:caps w:val="0"/>
          <w:color w:val="333333"/>
          <w:spacing w:val="0"/>
          <w:sz w:val="31"/>
          <w:szCs w:val="31"/>
          <w:bdr w:val="none" w:color="auto" w:sz="0" w:space="0"/>
          <w:shd w:val="clear" w:fill="FFFFFF"/>
        </w:rPr>
        <w:t>202</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年持平，主要原因是无预算项目。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31"/>
          <w:szCs w:val="31"/>
          <w:bdr w:val="none" w:color="auto" w:sz="0" w:space="0"/>
          <w:shd w:val="clear" w:fill="FFFFFF"/>
        </w:rPr>
        <w:t>2024</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年无使用政府性基金预算拨款安排的支出，与上年保持一致。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sz w:val="31"/>
          <w:szCs w:val="31"/>
          <w:bdr w:val="none" w:color="auto" w:sz="0" w:space="0"/>
          <w:shd w:val="clear" w:fill="FFFFFF"/>
        </w:rPr>
        <w:t>四、“三公”经费情况说明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重庆市梁平区</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lang w:val="en-US" w:eastAsia="zh-CN"/>
        </w:rPr>
        <w:t>福禄镇</w:t>
      </w:r>
      <w:bookmarkStart w:id="0" w:name="_GoBack"/>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文化服务中心</w:t>
      </w:r>
      <w:bookmarkEnd w:id="0"/>
      <w:r>
        <w:rPr>
          <w:rFonts w:hint="default" w:ascii="Times New Roman" w:hAnsi="Times New Roman" w:cs="Times New Roman"/>
          <w:i w:val="0"/>
          <w:iCs w:val="0"/>
          <w:caps w:val="0"/>
          <w:color w:val="333333"/>
          <w:spacing w:val="0"/>
          <w:sz w:val="31"/>
          <w:szCs w:val="31"/>
          <w:bdr w:val="none" w:color="auto" w:sz="0" w:space="0"/>
          <w:shd w:val="clear" w:fill="FFFFFF"/>
        </w:rPr>
        <w:t>202</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4</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年无三公经费预算拨款安排的支出。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sz w:val="31"/>
          <w:szCs w:val="31"/>
          <w:bdr w:val="none" w:color="auto" w:sz="0" w:space="0"/>
          <w:shd w:val="clear" w:fill="FFFFFF"/>
        </w:rPr>
        <w:t>五、其他重要事项的情况说明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Times New Roman" w:hAnsi="Times New Roman" w:cs="Times New Roman"/>
          <w:i w:val="0"/>
          <w:iCs w:val="0"/>
          <w:caps w:val="0"/>
          <w:color w:val="333333"/>
          <w:spacing w:val="0"/>
          <w:sz w:val="21"/>
          <w:szCs w:val="2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（一）机关运行经费</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。我单位不在机关运行经费统计范围之内。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Times New Roman" w:hAnsi="Times New Roman" w:cs="Times New Roman"/>
          <w:i w:val="0"/>
          <w:iCs w:val="0"/>
          <w:caps w:val="0"/>
          <w:color w:val="333333"/>
          <w:spacing w:val="0"/>
          <w:sz w:val="21"/>
          <w:szCs w:val="2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（二）政府采购情况</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。本单位政府采购预算总额</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万元：政府采购货物预算</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万元、政府采购工程预算</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万元、政府采购服务预算</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万元；其中一般公共预算拨款政府采购</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万元：政府采购货物预算</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万元、政府采购工程预算</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万元、政府采购服务预算</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Times New Roman" w:hAnsi="Times New Roman" w:cs="Times New Roman"/>
          <w:i w:val="0"/>
          <w:iCs w:val="0"/>
          <w:caps w:val="0"/>
          <w:color w:val="333333"/>
          <w:spacing w:val="0"/>
          <w:sz w:val="21"/>
          <w:szCs w:val="2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（三）绩效目标设置情况</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2024</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年无项目绩效目标。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Times New Roman" w:hAnsi="Times New Roman" w:cs="Times New Roman"/>
          <w:i w:val="0"/>
          <w:iCs w:val="0"/>
          <w:caps w:val="0"/>
          <w:color w:val="333333"/>
          <w:spacing w:val="0"/>
          <w:sz w:val="21"/>
          <w:szCs w:val="2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（四）国有资产占有使用情况</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。截止</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2023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12</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月，本单位共有车辆</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辆，其中一般公务用车</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辆、执勤执法用车</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辆。</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2024</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年一般公共预算安排购置车辆</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辆，其中一般公务用车</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辆、执勤执法用车</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方正黑体_GBK" w:hAnsi="方正黑体_GBK" w:eastAsia="方正黑体_GBK" w:cs="方正黑体_GBK"/>
          <w:i w:val="0"/>
          <w:iCs w:val="0"/>
          <w:caps w:val="0"/>
          <w:color w:val="333333"/>
          <w:spacing w:val="0"/>
          <w:sz w:val="31"/>
          <w:szCs w:val="31"/>
          <w:bdr w:val="none" w:color="auto" w:sz="0" w:space="0"/>
          <w:shd w:val="clear" w:fill="FFFFFF"/>
        </w:rPr>
        <w:t>六、专业性名词解释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（一）财政拨款收入</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：指本年度从本级财政部门取得的财政拨款，包括一般公共预算财政拨款、政府性基金预算财政拨款和国有资本经营预算财政拨款。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（二）其他收入</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：指单位取得的除“财政拨款收入”、“事业收入”、“经营收入”等以外的收入。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（三）基本支出</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：指为保障机构正常运转、完成日常工作任务而发生的人员经费和公用经费。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（四）项目支出</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：指在基本支出之外为完成特定行政任务和事业发展目标所发生的支出。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Times New Roman" w:hAnsi="Times New Roman" w:cs="Times New Roman"/>
          <w:i w:val="0"/>
          <w:iCs w:val="0"/>
          <w:caps w:val="0"/>
          <w:color w:val="333333"/>
          <w:spacing w:val="0"/>
          <w:sz w:val="21"/>
          <w:szCs w:val="21"/>
        </w:rPr>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（五）“三公”经费</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方正仿宋_GBK" w:cs="Times New Roman"/>
          <w:i w:val="0"/>
          <w:iCs w:val="0"/>
          <w:caps w:val="0"/>
          <w:color w:val="333333"/>
          <w:spacing w:val="0"/>
          <w:sz w:val="21"/>
          <w:szCs w:val="21"/>
          <w:lang w:val="en-US" w:eastAsia="zh-CN"/>
        </w:rPr>
      </w:pPr>
      <w:r>
        <w:rPr>
          <w:rFonts w:hint="eastAsia" w:ascii="方正仿宋_GBK" w:hAnsi="方正仿宋_GBK" w:eastAsia="方正仿宋_GBK" w:cs="方正仿宋_GBK"/>
          <w:i w:val="0"/>
          <w:iCs w:val="0"/>
          <w:caps w:val="0"/>
          <w:color w:val="333333"/>
          <w:spacing w:val="0"/>
          <w:sz w:val="31"/>
          <w:szCs w:val="31"/>
          <w:shd w:val="clear" w:fill="FFFFFF"/>
        </w:rPr>
        <w:t>单位预算公开联系人：</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唐毅</w:t>
      </w:r>
      <w:r>
        <w:rPr>
          <w:rFonts w:hint="default" w:ascii="Times New Roman" w:hAnsi="Times New Roman" w:cs="Times New Roman"/>
          <w:i w:val="0"/>
          <w:iCs w:val="0"/>
          <w:caps w:val="0"/>
          <w:color w:val="333333"/>
          <w:spacing w:val="0"/>
          <w:sz w:val="31"/>
          <w:szCs w:val="31"/>
          <w:shd w:val="clear" w:fill="FFFFFF"/>
        </w:rPr>
        <w:t>  </w:t>
      </w:r>
      <w:r>
        <w:rPr>
          <w:rFonts w:hint="eastAsia" w:ascii="方正仿宋_GBK" w:hAnsi="方正仿宋_GBK" w:eastAsia="方正仿宋_GBK" w:cs="方正仿宋_GBK"/>
          <w:i w:val="0"/>
          <w:iCs w:val="0"/>
          <w:caps w:val="0"/>
          <w:color w:val="333333"/>
          <w:spacing w:val="0"/>
          <w:sz w:val="31"/>
          <w:szCs w:val="31"/>
          <w:shd w:val="clear" w:fill="FFFFFF"/>
        </w:rPr>
        <w:t>   </w:t>
      </w:r>
      <w:r>
        <w:rPr>
          <w:rFonts w:hint="default" w:ascii="Times New Roman" w:hAnsi="Times New Roman" w:cs="Times New Roman"/>
          <w:i w:val="0"/>
          <w:iCs w:val="0"/>
          <w:caps w:val="0"/>
          <w:color w:val="333333"/>
          <w:spacing w:val="0"/>
          <w:sz w:val="31"/>
          <w:szCs w:val="31"/>
          <w:shd w:val="clear" w:fill="FFFFFF"/>
        </w:rPr>
        <w:t> </w:t>
      </w:r>
      <w:r>
        <w:rPr>
          <w:rFonts w:hint="eastAsia" w:ascii="方正仿宋_GBK" w:hAnsi="方正仿宋_GBK" w:eastAsia="方正仿宋_GBK" w:cs="方正仿宋_GBK"/>
          <w:i w:val="0"/>
          <w:iCs w:val="0"/>
          <w:caps w:val="0"/>
          <w:color w:val="333333"/>
          <w:spacing w:val="0"/>
          <w:sz w:val="31"/>
          <w:szCs w:val="31"/>
          <w:shd w:val="clear" w:fill="FFFFFF"/>
        </w:rPr>
        <w:t>联系方式：</w:t>
      </w:r>
      <w:r>
        <w:rPr>
          <w:rFonts w:hint="eastAsia" w:ascii="Times New Roman" w:hAnsi="Times New Roman" w:eastAsia="方正仿宋_GBK" w:cs="Times New Roman"/>
          <w:i w:val="0"/>
          <w:iCs w:val="0"/>
          <w:caps w:val="0"/>
          <w:color w:val="333333"/>
          <w:spacing w:val="0"/>
          <w:sz w:val="31"/>
          <w:szCs w:val="31"/>
          <w:shd w:val="clear" w:fill="FFFFFF"/>
          <w:lang w:val="en-US" w:eastAsia="zh-CN"/>
        </w:rPr>
        <w:t>023-53312101</w:t>
      </w:r>
    </w:p>
    <w:p>
      <w:pPr>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NDMyNThlZmJhNDI3MGVjODEwZTI0NjAyY2ExMTcifQ=="/>
    <w:docVar w:name="KSO_WPS_MARK_KEY" w:val="99a5ac27-7606-44d9-9ba0-eac06eb60f12"/>
  </w:docVars>
  <w:rsids>
    <w:rsidRoot w:val="00215A35"/>
    <w:rsid w:val="00215A35"/>
    <w:rsid w:val="0053603E"/>
    <w:rsid w:val="043D7413"/>
    <w:rsid w:val="06657CA5"/>
    <w:rsid w:val="08CB5169"/>
    <w:rsid w:val="18436743"/>
    <w:rsid w:val="1A542FFB"/>
    <w:rsid w:val="1AB9484B"/>
    <w:rsid w:val="1D217056"/>
    <w:rsid w:val="32534971"/>
    <w:rsid w:val="381B6706"/>
    <w:rsid w:val="3E50516D"/>
    <w:rsid w:val="3EAA48DB"/>
    <w:rsid w:val="40E073C1"/>
    <w:rsid w:val="417B0753"/>
    <w:rsid w:val="45275022"/>
    <w:rsid w:val="4A2F20BE"/>
    <w:rsid w:val="4D9D71B4"/>
    <w:rsid w:val="522527E8"/>
    <w:rsid w:val="63326F0D"/>
    <w:rsid w:val="6B7F3A3F"/>
    <w:rsid w:val="6C507F2E"/>
    <w:rsid w:val="77F94D76"/>
    <w:rsid w:val="7B5565CF"/>
    <w:rsid w:val="7EFF20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ascii="Calibri" w:hAnsi="Calibri"/>
      <w:kern w:val="0"/>
      <w:sz w:val="24"/>
    </w:rPr>
  </w:style>
  <w:style w:type="character" w:styleId="7">
    <w:name w:val="Strong"/>
    <w:basedOn w:val="6"/>
    <w:qFormat/>
    <w:uiPriority w:val="0"/>
    <w:rPr>
      <w:b/>
    </w:rPr>
  </w:style>
  <w:style w:type="character" w:customStyle="1" w:styleId="8">
    <w:name w:val="页脚 Char"/>
    <w:link w:val="2"/>
    <w:qFormat/>
    <w:uiPriority w:val="0"/>
    <w:rPr>
      <w:kern w:val="2"/>
      <w:sz w:val="18"/>
      <w:szCs w:val="18"/>
    </w:rPr>
  </w:style>
  <w:style w:type="character" w:customStyle="1" w:styleId="9">
    <w:name w:val="页眉 Char"/>
    <w:link w:val="3"/>
    <w:qFormat/>
    <w:uiPriority w:val="0"/>
    <w:rPr>
      <w:kern w:val="2"/>
      <w:sz w:val="18"/>
      <w:szCs w:val="18"/>
    </w:rPr>
  </w:style>
  <w:style w:type="paragraph" w:styleId="10">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1477</Words>
  <Characters>1603</Characters>
  <Lines>14</Lines>
  <Paragraphs>4</Paragraphs>
  <TotalTime>1</TotalTime>
  <ScaleCrop>false</ScaleCrop>
  <LinksUpToDate>false</LinksUpToDate>
  <CharactersWithSpaces>1603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HP</cp:lastModifiedBy>
  <dcterms:modified xsi:type="dcterms:W3CDTF">2024-06-25T03:49:13Z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313F7178ECC24B96A415155464FEF9CE_13</vt:lpwstr>
  </property>
</Properties>
</file>