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附件3-1</w:t>
      </w:r>
    </w:p>
    <w:tbl>
      <w:tblPr>
        <w:tblStyle w:val="4"/>
        <w:tblW w:w="137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797"/>
        <w:gridCol w:w="3662"/>
        <w:gridCol w:w="1203"/>
        <w:gridCol w:w="1697"/>
        <w:gridCol w:w="1280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60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财政拨款收支总表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440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　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93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国有资本经营预算财政拨款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一般公共服务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412.95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412.95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社会保障和就业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国有资本经营预算拨款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hint="eastAsia" w:eastAsia="方正仿宋_GBK"/>
                <w:kern w:val="0"/>
                <w:sz w:val="22"/>
                <w:szCs w:val="22"/>
              </w:rPr>
              <w:t>卫生健康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22.94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22.94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住房保障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23.92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23.92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二、上年结转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二、结转下年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一般公共预算拨款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政府性基金预算拨款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国有资本经营预算拨款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收入总数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支出总数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eastAsia="方正仿宋_GBK"/>
                <w:color w:val="FFFFFF"/>
                <w:kern w:val="0"/>
                <w:sz w:val="22"/>
                <w:szCs w:val="22"/>
              </w:rPr>
            </w:pPr>
          </w:p>
        </w:tc>
      </w:tr>
    </w:tbl>
    <w:p>
      <w:pPr>
        <w:widowControl/>
        <w:rPr>
          <w:rFonts w:eastAsia="方正仿宋_GBK"/>
          <w:bCs/>
          <w:color w:val="000000"/>
          <w:kern w:val="0"/>
          <w:sz w:val="36"/>
          <w:szCs w:val="36"/>
        </w:rPr>
        <w:sectPr>
          <w:pgSz w:w="16838" w:h="11906" w:orient="landscape"/>
          <w:pgMar w:top="1418" w:right="1474" w:bottom="1361" w:left="1474" w:header="851" w:footer="964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Cs/>
          <w:color w:val="000000"/>
          <w:kern w:val="0"/>
          <w:sz w:val="36"/>
          <w:szCs w:val="36"/>
        </w:rPr>
        <w:t>附件3-2</w:t>
      </w:r>
    </w:p>
    <w:tbl>
      <w:tblPr>
        <w:tblStyle w:val="4"/>
        <w:tblW w:w="95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185"/>
        <w:gridCol w:w="1417"/>
        <w:gridCol w:w="1635"/>
        <w:gridCol w:w="1559"/>
        <w:gridCol w:w="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kern w:val="0"/>
                <w:sz w:val="36"/>
                <w:szCs w:val="36"/>
              </w:rPr>
              <w:t>一般公共预算财政拨款支出预算表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57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ind w:right="440" w:firstLine="7700" w:firstLineChars="3500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2022年预算数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412.95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20106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财政事务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412.95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2010601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行政运行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412.95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20805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2080505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31.89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2080506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21011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行政事业单位医疗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2101101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行政单位医疗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2101199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22102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住房改革支出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1" w:type="dxa"/>
          <w:trHeight w:val="270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2210201</w:t>
            </w:r>
          </w:p>
        </w:tc>
        <w:tc>
          <w:tcPr>
            <w:tcW w:w="3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住房公积金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94" w:lineRule="exact"/>
        <w:rPr>
          <w:rFonts w:eastAsia="方正仿宋_GBK"/>
          <w:color w:val="000000"/>
          <w:sz w:val="24"/>
        </w:rPr>
      </w:pPr>
      <w:r>
        <w:rPr>
          <w:rFonts w:eastAsia="方正仿宋_GBK"/>
          <w:color w:val="000000"/>
          <w:sz w:val="24"/>
        </w:rPr>
        <w:t>备注：本表反映2022年当年一般公共预算财政拨款支出情况。</w:t>
      </w: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color w:val="000000"/>
          <w:sz w:val="32"/>
          <w:szCs w:val="32"/>
        </w:rPr>
      </w:pPr>
    </w:p>
    <w:p>
      <w:pPr>
        <w:widowControl/>
        <w:snapToGrid w:val="0"/>
        <w:spacing w:line="44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附件3-3</w:t>
      </w:r>
    </w:p>
    <w:tbl>
      <w:tblPr>
        <w:tblStyle w:val="4"/>
        <w:tblW w:w="9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718"/>
        <w:gridCol w:w="1536"/>
        <w:gridCol w:w="129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一般公共预算财政拨款基本支出预算表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2022年基本支出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方正仿宋_GBK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432.9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432.96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432.96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30101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基本工资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30102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津贴补贴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30103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奖金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30108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机关事业单位基本养老保险缴费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30109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职业年金缴费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30110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职工基本医疗保险缴费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30112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其他社会保障缴费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30113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住房公积金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30114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医疗费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30199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其他工资福利支出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137.36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30201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办公费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30202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印刷费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30205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水费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30206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电费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30207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邮电费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30211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差旅费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30215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会议费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30216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培训费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30226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劳务费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30228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工会经费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30229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福利费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30239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其他交通费用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30299</w:t>
            </w:r>
          </w:p>
        </w:tc>
        <w:tc>
          <w:tcPr>
            <w:tcW w:w="3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其他商品和服务支出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</w:tbl>
    <w:p>
      <w:pPr>
        <w:widowControl/>
        <w:snapToGrid w:val="0"/>
        <w:spacing w:after="240" w:afterLines="100" w:line="560" w:lineRule="exact"/>
        <w:jc w:val="left"/>
        <w:rPr>
          <w:rFonts w:eastAsia="方正黑体_GBK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61" w:right="1361" w:bottom="1361" w:left="1361" w:header="851" w:footer="850" w:gutter="0"/>
          <w:cols w:space="720" w:num="1"/>
          <w:docGrid w:linePitch="312" w:charSpace="0"/>
        </w:sectPr>
      </w:pPr>
    </w:p>
    <w:p>
      <w:pPr>
        <w:widowControl/>
        <w:snapToGrid w:val="0"/>
        <w:spacing w:after="240" w:afterLines="100"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附件3-4</w:t>
      </w:r>
    </w:p>
    <w:tbl>
      <w:tblPr>
        <w:tblStyle w:val="4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479"/>
        <w:gridCol w:w="1522"/>
        <w:gridCol w:w="1984"/>
        <w:gridCol w:w="1985"/>
        <w:gridCol w:w="1482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660" w:hRule="atLeast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spacing w:line="440" w:lineRule="exact"/>
              <w:jc w:val="center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一般公共预算“三公”经费支出表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808" w:hRule="atLeast"/>
          <w:jc w:val="center"/>
        </w:trPr>
        <w:tc>
          <w:tcPr>
            <w:tcW w:w="97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spacing w:line="560" w:lineRule="exact"/>
              <w:jc w:val="righ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42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2022年预算数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26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合计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因公出国（境）费</w:t>
            </w:r>
          </w:p>
        </w:tc>
        <w:tc>
          <w:tcPr>
            <w:tcW w:w="5491" w:type="dxa"/>
            <w:gridSpan w:val="3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公务用车购置及运行费</w:t>
            </w:r>
          </w:p>
        </w:tc>
        <w:tc>
          <w:tcPr>
            <w:tcW w:w="1546" w:type="dxa"/>
            <w:gridSpan w:val="2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</w:p>
        </w:tc>
        <w:tc>
          <w:tcPr>
            <w:tcW w:w="152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小计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公务用车购置费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  <w:r>
              <w:rPr>
                <w:rFonts w:eastAsia="方正仿宋_GBK"/>
                <w:bCs/>
                <w:kern w:val="0"/>
                <w:sz w:val="24"/>
                <w:szCs w:val="22"/>
              </w:rPr>
              <w:t>公务用车运行费</w:t>
            </w: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bCs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szCs w:val="2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  <w:sectPr>
          <w:pgSz w:w="11906" w:h="16838"/>
          <w:pgMar w:top="1588" w:right="1531" w:bottom="1588" w:left="1531" w:header="851" w:footer="851" w:gutter="0"/>
          <w:cols w:space="720" w:num="1"/>
          <w:docGrid w:linePitch="312" w:charSpace="0"/>
        </w:sect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附件3-5</w:t>
      </w:r>
    </w:p>
    <w:tbl>
      <w:tblPr>
        <w:tblStyle w:val="4"/>
        <w:tblW w:w="133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348"/>
        <w:gridCol w:w="1440"/>
        <w:gridCol w:w="141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24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24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7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本年政府性基金预算财政拨款支出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208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 w:val="20"/>
                <w:szCs w:val="20"/>
              </w:rPr>
            </w:pPr>
            <w:r>
              <w:rPr>
                <w:rFonts w:eastAsia="方正仿宋_GBK"/>
                <w:bCs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20822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大中型水库移民后期扶持基金支出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2082201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移民补助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2082202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基础设施建设和经济发展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2082299</w:t>
            </w: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其他大中型水库移民后期扶持基金支出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napToGrid w:val="0"/>
        <w:spacing w:line="560" w:lineRule="exact"/>
        <w:ind w:firstLine="240" w:firstLineChars="100"/>
        <w:jc w:val="left"/>
        <w:rPr>
          <w:rFonts w:eastAsia="方正仿宋_GBK"/>
          <w:kern w:val="0"/>
          <w:sz w:val="24"/>
        </w:rPr>
        <w:sectPr>
          <w:pgSz w:w="16838" w:h="11906" w:orient="landscape"/>
          <w:pgMar w:top="1361" w:right="1361" w:bottom="1361" w:left="1361" w:header="851" w:footer="850" w:gutter="0"/>
          <w:cols w:space="720" w:num="1"/>
          <w:docGrid w:linePitch="312" w:charSpace="0"/>
        </w:sectPr>
      </w:pPr>
      <w:r>
        <w:rPr>
          <w:rFonts w:eastAsia="方正仿宋_GBK"/>
          <w:kern w:val="0"/>
          <w:sz w:val="24"/>
        </w:rPr>
        <w:t>备注：本单位无政府性基金收支，故此表无数据。</w:t>
      </w: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附件3-6</w:t>
      </w:r>
    </w:p>
    <w:tbl>
      <w:tblPr>
        <w:tblStyle w:val="4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2"/>
        <w:gridCol w:w="1445"/>
        <w:gridCol w:w="2976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ind w:right="440" w:firstLine="2530" w:firstLineChars="1150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一般公共预算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</w:rPr>
              <w:t>拨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款收入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国有资本经营预算拨款收入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事业收入预算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  <w:r>
              <w:rPr>
                <w:rFonts w:eastAsia="方正仿宋_GBK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事业单位经营收入预算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其他收入预算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方正黑体_GBK"/>
          <w:kern w:val="0"/>
          <w:sz w:val="32"/>
          <w:szCs w:val="32"/>
        </w:rPr>
        <w:sectPr>
          <w:pgSz w:w="11906" w:h="16838"/>
          <w:pgMar w:top="1361" w:right="1361" w:bottom="1361" w:left="1361" w:header="851" w:footer="850" w:gutter="0"/>
          <w:cols w:space="720" w:num="1"/>
          <w:docGrid w:linePitch="312" w:charSpace="0"/>
        </w:sect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附件3-7</w:t>
      </w:r>
    </w:p>
    <w:tbl>
      <w:tblPr>
        <w:tblStyle w:val="4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886"/>
        <w:gridCol w:w="992"/>
        <w:gridCol w:w="993"/>
        <w:gridCol w:w="992"/>
        <w:gridCol w:w="1134"/>
        <w:gridCol w:w="1134"/>
        <w:gridCol w:w="992"/>
        <w:gridCol w:w="851"/>
        <w:gridCol w:w="1134"/>
        <w:gridCol w:w="85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收入总表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440" w:firstLine="880" w:firstLineChars="400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上年</w:t>
            </w:r>
          </w:p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结转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一般公共预算拨款收入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国有资本经营预算拨款收入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事业单位经营收入预算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其他收入预算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非教育收费收入预算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教育收费预算收入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20106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财政事务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2010601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20805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2080505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2080506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21011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行政事业单位医疗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2101101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行政单位医疗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2101199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22102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住房改革支出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2210201</w:t>
            </w:r>
          </w:p>
        </w:tc>
        <w:tc>
          <w:tcPr>
            <w:tcW w:w="2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住房公积金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方正黑体_GBK"/>
          <w:kern w:val="0"/>
          <w:sz w:val="32"/>
          <w:szCs w:val="32"/>
        </w:rPr>
        <w:sectPr>
          <w:pgSz w:w="16838" w:h="11906" w:orient="landscape"/>
          <w:pgMar w:top="1361" w:right="1361" w:bottom="1361" w:left="1361" w:header="851" w:footer="850" w:gutter="0"/>
          <w:cols w:space="720" w:num="1"/>
          <w:docGrid w:linePitch="312" w:charSpace="0"/>
        </w:sect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附件3-8</w:t>
      </w:r>
    </w:p>
    <w:tbl>
      <w:tblPr>
        <w:tblStyle w:val="4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057"/>
        <w:gridCol w:w="1358"/>
        <w:gridCol w:w="1276"/>
        <w:gridCol w:w="1276"/>
        <w:gridCol w:w="1706"/>
        <w:gridCol w:w="147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支出总表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right="440"/>
              <w:jc w:val="right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4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事业单位</w:t>
            </w:r>
          </w:p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对下级单</w:t>
            </w:r>
          </w:p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507.6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20106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bCs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财政事务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2010601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行政运行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20805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2080505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2080506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21011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行政事业单位医疗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2101101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行政单位医疗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2101199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其他行政事业单位医疗支出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22102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住房改革支出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2210201</w:t>
            </w:r>
          </w:p>
        </w:tc>
        <w:tc>
          <w:tcPr>
            <w:tcW w:w="4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bCs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住房公积金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附件3-9</w:t>
      </w:r>
    </w:p>
    <w:tbl>
      <w:tblPr>
        <w:tblStyle w:val="4"/>
        <w:tblW w:w="144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126"/>
        <w:gridCol w:w="1200"/>
        <w:gridCol w:w="1340"/>
        <w:gridCol w:w="1579"/>
        <w:gridCol w:w="1281"/>
        <w:gridCol w:w="1080"/>
        <w:gridCol w:w="1182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8"/>
                <w:sz w:val="36"/>
                <w:szCs w:val="36"/>
                <w:lang w:eastAsia="zh-CN"/>
              </w:rPr>
              <w:t>重庆市梁平区财务结算中心</w:t>
            </w:r>
            <w:r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  <w:t>政府采购预算明细表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上年结转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一般公共预算拨款收入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政府性基金预算拨款收入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国有资本经营预算拨款收入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事业收入预算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事业单位经营收入预算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其他收入预算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非教育收费收入预算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教育收费收入预算</w:t>
            </w: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货物类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服务类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工程类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说明：本单位无该项收支，故此表无数据。</w:t>
      </w:r>
    </w:p>
    <w:p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tbl>
      <w:tblPr>
        <w:tblStyle w:val="4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817"/>
        <w:gridCol w:w="2340"/>
        <w:gridCol w:w="2340"/>
        <w:gridCol w:w="2340"/>
        <w:gridCol w:w="1787"/>
      </w:tblGrid>
      <w:tr>
        <w:trPr>
          <w:trHeight w:val="390" w:hRule="atLeast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</w:rPr>
        <w:t>附件3-1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0</w:t>
      </w:r>
    </w:p>
    <w:p>
      <w:pPr>
        <w:widowControl/>
        <w:snapToGrid w:val="0"/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小标宋_GBK"/>
          <w:bCs/>
          <w:color w:val="000000"/>
          <w:kern w:val="0"/>
          <w:sz w:val="36"/>
          <w:szCs w:val="36"/>
        </w:rPr>
        <w:t>2022年项目绩效目标表</w:t>
      </w:r>
    </w:p>
    <w:tbl>
      <w:tblPr>
        <w:tblStyle w:val="4"/>
        <w:tblpPr w:leftFromText="180" w:rightFromText="180" w:vertAnchor="text" w:horzAnchor="margin" w:tblpY="282"/>
        <w:tblOverlap w:val="never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76"/>
        <w:gridCol w:w="989"/>
        <w:gridCol w:w="428"/>
        <w:gridCol w:w="1276"/>
        <w:gridCol w:w="142"/>
        <w:gridCol w:w="1134"/>
        <w:gridCol w:w="850"/>
        <w:gridCol w:w="1276"/>
        <w:gridCol w:w="151"/>
        <w:gridCol w:w="983"/>
        <w:gridCol w:w="851"/>
        <w:gridCol w:w="141"/>
        <w:gridCol w:w="567"/>
        <w:gridCol w:w="851"/>
        <w:gridCol w:w="1213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单位信息：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预算项目：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职能职责与活动：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主管部门：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项目经办人：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项目总额：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预算执行率权重：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项目经办人电话：</w:t>
            </w:r>
          </w:p>
        </w:tc>
        <w:tc>
          <w:tcPr>
            <w:tcW w:w="3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其中: 财政资金：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年度目标：</w:t>
            </w:r>
          </w:p>
        </w:tc>
        <w:tc>
          <w:tcPr>
            <w:tcW w:w="752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财政专户管理资金：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单位资金：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社会投入资金：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2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银行贷款：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历史参考值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本年指标值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度量单位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权重(%)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本年权重(%)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指标方向性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黑体_GBK" w:hAnsi="Arial" w:eastAsia="方正黑体_GBK" w:cs="Arial"/>
                <w:kern w:val="0"/>
                <w:sz w:val="18"/>
                <w:szCs w:val="18"/>
              </w:rPr>
            </w:pPr>
            <w:r>
              <w:rPr>
                <w:rFonts w:hint="eastAsia" w:ascii="方正黑体_GBK" w:hAnsi="Arial" w:eastAsia="方正黑体_GBK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kern w:val="0"/>
                <w:sz w:val="18"/>
                <w:szCs w:val="18"/>
              </w:rPr>
            </w:pPr>
            <w:r>
              <w:rPr>
                <w:rFonts w:ascii="Arial" w:hAnsi="Arial" w:eastAsia="等线" w:cs="Arial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spacing w:line="594" w:lineRule="exact"/>
        <w:rPr>
          <w:rFonts w:eastAsia="方正仿宋_GBK"/>
          <w:kern w:val="0"/>
          <w:sz w:val="32"/>
          <w:szCs w:val="32"/>
        </w:rPr>
        <w:sectPr>
          <w:pgSz w:w="16840" w:h="11907" w:orient="landscape"/>
          <w:pgMar w:top="1134" w:right="1134" w:bottom="1134" w:left="1134" w:header="851" w:footer="851" w:gutter="0"/>
          <w:cols w:space="720" w:num="1"/>
          <w:docGrid w:linePitch="312" w:charSpace="0"/>
        </w:sect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说明：本单位无该项收支，故此表无数据</w:t>
      </w:r>
    </w:p>
    <w:p>
      <w:bookmarkStart w:id="0" w:name="_GoBack"/>
      <w:bookmarkEnd w:id="0"/>
    </w:p>
    <w:sectPr>
      <w:pgSz w:w="11906" w:h="16838"/>
      <w:pgMar w:top="1361" w:right="1758" w:bottom="1361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一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25</w:t>
    </w:r>
    <w:r>
      <w:rPr>
        <w:sz w:val="28"/>
        <w:szCs w:val="28"/>
      </w:rPr>
      <w:fldChar w:fldCharType="end"/>
    </w:r>
    <w:r>
      <w:rPr>
        <w:sz w:val="28"/>
        <w:szCs w:val="28"/>
      </w:rPr>
      <w:t>一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73C4"/>
    <w:rsid w:val="4E97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Dialog . plain" w:hAnsi="Dialog . plain" w:eastAsia="Dialog . plain" w:cs="Dialog . plain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2022-02-24T08:16:00Z</dcterms:created>
  <dc:creator>Administrator</dc:creator>
  <cp:lastModifiedBy>Administrator</cp:lastModifiedBy>
  <dcterms:modified xsi:type="dcterms:W3CDTF">2022-02-24T08:17:21Z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05039F781FFC437E82217BD38C556ABE</vt:lpwstr>
  </property>
</Properties>
</file>